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p>
    <w:p w:rsidR="000505CF" w:rsidRPr="0026201A" w:rsidRDefault="00E831C4"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E831C4"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021F4E">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021F4E">
              <w:rPr>
                <w:rFonts w:cs="Traditional Arabic" w:hint="cs"/>
                <w:b/>
                <w:bCs/>
                <w:color w:val="4F81BD"/>
                <w:sz w:val="20"/>
                <w:szCs w:val="30"/>
                <w:rtl/>
                <w:lang w:val="en-GB"/>
              </w:rPr>
              <w:t>2</w:t>
            </w:r>
            <w:r w:rsidRPr="0026201A">
              <w:rPr>
                <w:rFonts w:cs="Traditional Arabic"/>
                <w:b/>
                <w:bCs/>
                <w:color w:val="4F81BD"/>
                <w:sz w:val="20"/>
                <w:szCs w:val="30"/>
                <w:rtl/>
                <w:lang w:val="en-GB"/>
              </w:rPr>
              <w:t xml:space="preserve">: </w:t>
            </w:r>
            <w:r w:rsidR="00021F4E">
              <w:rPr>
                <w:rFonts w:cs="Traditional Arabic" w:hint="cs"/>
                <w:b/>
                <w:bCs/>
                <w:color w:val="4F81BD"/>
                <w:sz w:val="20"/>
                <w:szCs w:val="30"/>
                <w:rtl/>
                <w:lang w:val="en-GB"/>
              </w:rPr>
              <w:t>مقدمة موجزة لاتفاقية حقوق الأشخاص ذوي الإعاقة: تاريخها وسماتها الرئيسية وهيكلها</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E831C4"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Pr="0026201A" w:rsidRDefault="00021F4E" w:rsidP="0026201A">
            <w:pPr>
              <w:pStyle w:val="ListParagraph"/>
              <w:keepNext/>
              <w:numPr>
                <w:ilvl w:val="0"/>
                <w:numId w:val="3"/>
              </w:numPr>
              <w:bidi/>
              <w:rPr>
                <w:rFonts w:cs="Traditional Arabic"/>
                <w:sz w:val="20"/>
                <w:szCs w:val="30"/>
                <w:lang w:val="en-GB"/>
              </w:rPr>
            </w:pPr>
            <w:r>
              <w:rPr>
                <w:rFonts w:cs="Traditional Arabic" w:hint="cs"/>
                <w:sz w:val="20"/>
                <w:szCs w:val="30"/>
                <w:rtl/>
                <w:lang w:val="en-GB"/>
              </w:rPr>
              <w:t>إذابة الجليد</w:t>
            </w:r>
          </w:p>
          <w:p w:rsidR="000505CF" w:rsidRDefault="00021F4E" w:rsidP="0078064D">
            <w:pPr>
              <w:pStyle w:val="ListParagraph"/>
              <w:keepNext/>
              <w:numPr>
                <w:ilvl w:val="0"/>
                <w:numId w:val="3"/>
              </w:numPr>
              <w:bidi/>
              <w:rPr>
                <w:rFonts w:cs="Traditional Arabic"/>
                <w:sz w:val="20"/>
                <w:szCs w:val="30"/>
                <w:lang w:val="en-GB"/>
              </w:rPr>
            </w:pPr>
            <w:r>
              <w:rPr>
                <w:rFonts w:cs="Traditional Arabic" w:hint="cs"/>
                <w:sz w:val="20"/>
                <w:szCs w:val="30"/>
                <w:rtl/>
                <w:lang w:val="en-GB"/>
              </w:rPr>
              <w:t xml:space="preserve">العرض </w:t>
            </w:r>
          </w:p>
          <w:p w:rsidR="00021F4E" w:rsidRPr="0026201A" w:rsidRDefault="00021F4E" w:rsidP="00021F4E">
            <w:pPr>
              <w:pStyle w:val="ListParagraph"/>
              <w:keepNext/>
              <w:numPr>
                <w:ilvl w:val="0"/>
                <w:numId w:val="3"/>
              </w:numPr>
              <w:bidi/>
              <w:rPr>
                <w:rFonts w:cs="Traditional Arabic"/>
                <w:sz w:val="20"/>
                <w:szCs w:val="30"/>
                <w:lang w:val="en-GB"/>
              </w:rPr>
            </w:pPr>
            <w:r>
              <w:rPr>
                <w:rFonts w:cs="Traditional Arabic" w:hint="cs"/>
                <w:sz w:val="20"/>
                <w:szCs w:val="30"/>
                <w:rtl/>
                <w:lang w:val="en-GB"/>
              </w:rPr>
              <w:t>أسئلة وأجوبة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E831C4"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912E55" w:rsidP="00912E55">
            <w:pPr>
              <w:keepNext/>
              <w:bidi/>
              <w:rPr>
                <w:rFonts w:cs="Traditional Arabic"/>
                <w:sz w:val="20"/>
                <w:szCs w:val="30"/>
                <w:lang w:val="en-GB"/>
              </w:rPr>
            </w:pPr>
            <w:r>
              <w:rPr>
                <w:rFonts w:cs="Traditional Arabic" w:hint="cs"/>
                <w:sz w:val="20"/>
                <w:szCs w:val="30"/>
                <w:rtl/>
                <w:lang w:val="en-GB"/>
              </w:rPr>
              <w:t>ساعتان</w:t>
            </w:r>
            <w:r w:rsidR="00021F4E">
              <w:rPr>
                <w:rFonts w:cs="Traditional Arabic" w:hint="cs"/>
                <w:sz w:val="20"/>
                <w:szCs w:val="30"/>
                <w:rtl/>
                <w:lang w:val="en-GB"/>
              </w:rPr>
              <w:t xml:space="preserve"> و30 دقيقة</w:t>
            </w:r>
          </w:p>
          <w:p w:rsidR="000505CF" w:rsidRPr="0026201A" w:rsidRDefault="00021F4E" w:rsidP="0026201A">
            <w:pPr>
              <w:pStyle w:val="ListParagraph"/>
              <w:keepNext/>
              <w:numPr>
                <w:ilvl w:val="0"/>
                <w:numId w:val="5"/>
              </w:numPr>
              <w:bidi/>
              <w:rPr>
                <w:rFonts w:cs="Traditional Arabic"/>
                <w:sz w:val="20"/>
                <w:szCs w:val="30"/>
                <w:lang w:val="en-GB"/>
              </w:rPr>
            </w:pPr>
            <w:r>
              <w:rPr>
                <w:rFonts w:cs="Traditional Arabic" w:hint="cs"/>
                <w:sz w:val="20"/>
                <w:szCs w:val="30"/>
                <w:rtl/>
                <w:lang w:val="en-GB"/>
              </w:rPr>
              <w:t>30 دقيقة إذابة الجليد</w:t>
            </w:r>
          </w:p>
          <w:p w:rsidR="000505CF" w:rsidRDefault="00021F4E" w:rsidP="001E6820">
            <w:pPr>
              <w:pStyle w:val="ListParagraph"/>
              <w:keepNext/>
              <w:numPr>
                <w:ilvl w:val="0"/>
                <w:numId w:val="5"/>
              </w:numPr>
              <w:bidi/>
              <w:rPr>
                <w:rFonts w:cs="Traditional Arabic"/>
                <w:sz w:val="20"/>
                <w:szCs w:val="30"/>
                <w:lang w:val="en-GB"/>
              </w:rPr>
            </w:pPr>
            <w:r>
              <w:rPr>
                <w:rFonts w:cs="Traditional Arabic" w:hint="cs"/>
                <w:sz w:val="20"/>
                <w:szCs w:val="30"/>
                <w:rtl/>
                <w:lang w:val="en-GB"/>
              </w:rPr>
              <w:t>ساعة واحدة</w:t>
            </w:r>
            <w:r w:rsidR="00912E55">
              <w:rPr>
                <w:rFonts w:cs="Traditional Arabic" w:hint="cs"/>
                <w:sz w:val="20"/>
                <w:szCs w:val="30"/>
                <w:rtl/>
                <w:lang w:val="en-GB"/>
              </w:rPr>
              <w:t>:</w:t>
            </w:r>
            <w:r>
              <w:rPr>
                <w:rFonts w:cs="Traditional Arabic" w:hint="cs"/>
                <w:sz w:val="20"/>
                <w:szCs w:val="30"/>
                <w:rtl/>
                <w:lang w:val="en-GB"/>
              </w:rPr>
              <w:t xml:space="preserve"> العرض والمناقشة</w:t>
            </w:r>
          </w:p>
          <w:p w:rsidR="00021F4E" w:rsidRPr="0026201A" w:rsidRDefault="00021F4E" w:rsidP="00021F4E">
            <w:pPr>
              <w:pStyle w:val="ListParagraph"/>
              <w:keepNext/>
              <w:numPr>
                <w:ilvl w:val="0"/>
                <w:numId w:val="5"/>
              </w:numPr>
              <w:bidi/>
              <w:rPr>
                <w:rFonts w:cs="Traditional Arabic"/>
                <w:sz w:val="20"/>
                <w:szCs w:val="30"/>
                <w:lang w:val="en-GB"/>
              </w:rPr>
            </w:pPr>
            <w:r>
              <w:rPr>
                <w:rFonts w:cs="Traditional Arabic" w:hint="cs"/>
                <w:sz w:val="20"/>
                <w:szCs w:val="30"/>
                <w:rtl/>
                <w:lang w:val="en-GB"/>
              </w:rPr>
              <w:t>ساعة واحدة</w:t>
            </w:r>
            <w:r w:rsidR="00912E55">
              <w:rPr>
                <w:rFonts w:cs="Traditional Arabic" w:hint="cs"/>
                <w:sz w:val="20"/>
                <w:szCs w:val="30"/>
                <w:rtl/>
                <w:lang w:val="en-GB"/>
              </w:rPr>
              <w:t>:</w:t>
            </w:r>
            <w:r>
              <w:rPr>
                <w:rFonts w:cs="Traditional Arabic" w:hint="cs"/>
                <w:sz w:val="20"/>
                <w:szCs w:val="30"/>
                <w:rtl/>
                <w:lang w:val="en-GB"/>
              </w:rPr>
              <w:t xml:space="preserve"> نشاط جماعي</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E831C4"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021F4E">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p>
          <w:p w:rsidR="000505CF" w:rsidRPr="0026201A" w:rsidRDefault="000505CF" w:rsidP="00021F4E">
            <w:pPr>
              <w:keepNext/>
              <w:numPr>
                <w:ilvl w:val="0"/>
                <w:numId w:val="2"/>
              </w:numPr>
              <w:bidi/>
              <w:rPr>
                <w:rFonts w:cs="Traditional Arabic"/>
                <w:color w:val="1F497D"/>
                <w:sz w:val="20"/>
                <w:szCs w:val="30"/>
                <w:lang w:val="en-GB"/>
              </w:rPr>
            </w:pPr>
            <w:r w:rsidRPr="0026201A">
              <w:rPr>
                <w:rFonts w:cs="Traditional Arabic"/>
                <w:sz w:val="20"/>
                <w:szCs w:val="30"/>
                <w:rtl/>
                <w:lang w:val="en-GB" w:bidi="ar-EG"/>
              </w:rPr>
              <w:t>تعليمات للنشاط الجماعي</w:t>
            </w:r>
            <w:r w:rsidR="00021F4E">
              <w:rPr>
                <w:rFonts w:cs="Traditional Arabic" w:hint="cs"/>
                <w:sz w:val="20"/>
                <w:szCs w:val="30"/>
                <w:rtl/>
                <w:lang w:val="en-GB" w:bidi="ar-EG"/>
              </w:rPr>
              <w:t>:</w:t>
            </w:r>
            <w:r w:rsidRPr="0026201A">
              <w:rPr>
                <w:rFonts w:cs="Traditional Arabic"/>
                <w:sz w:val="20"/>
                <w:szCs w:val="30"/>
                <w:rtl/>
                <w:lang w:val="en-GB" w:bidi="ar-EG"/>
              </w:rPr>
              <w:t xml:space="preserve"> </w:t>
            </w:r>
            <w:r w:rsidR="00021F4E">
              <w:rPr>
                <w:rFonts w:cs="Traditional Arabic" w:hint="cs"/>
                <w:sz w:val="20"/>
                <w:szCs w:val="30"/>
                <w:rtl/>
                <w:lang w:val="en-GB" w:bidi="ar-EG"/>
              </w:rPr>
              <w:t>التمييز في المدرسة</w:t>
            </w:r>
          </w:p>
          <w:p w:rsidR="000505CF" w:rsidRPr="0026201A" w:rsidRDefault="000505CF" w:rsidP="00021F4E">
            <w:pPr>
              <w:keepNext/>
              <w:bidi/>
              <w:ind w:left="360" w:right="22"/>
              <w:rPr>
                <w:rFonts w:cs="Traditional Arabic"/>
                <w:color w:val="1F497D"/>
                <w:sz w:val="20"/>
                <w:szCs w:val="30"/>
                <w:lang w:val="en-GB"/>
              </w:rPr>
            </w:pP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E831C4"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26201A" w:rsidRDefault="001E6820" w:rsidP="00021F4E">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 xml:space="preserve">لمعرفة </w:t>
            </w:r>
            <w:r w:rsidR="000505CF" w:rsidRPr="0026201A">
              <w:rPr>
                <w:rFonts w:cs="Traditional Arabic"/>
                <w:sz w:val="20"/>
                <w:szCs w:val="30"/>
                <w:rtl/>
                <w:lang w:val="en-GB" w:bidi="ar-EG"/>
              </w:rPr>
              <w:t xml:space="preserve">المصادر والمراجع والمواقع الشبكية </w:t>
            </w:r>
            <w:r w:rsidR="00021F4E">
              <w:rPr>
                <w:rFonts w:cs="Traditional Arabic" w:hint="cs"/>
                <w:sz w:val="20"/>
                <w:szCs w:val="30"/>
                <w:rtl/>
                <w:lang w:val="en-GB" w:bidi="ar-EG"/>
              </w:rPr>
              <w:t>المستعملة</w:t>
            </w:r>
            <w:r w:rsidR="000505CF" w:rsidRPr="0026201A">
              <w:rPr>
                <w:rFonts w:cs="Traditional Arabic"/>
                <w:sz w:val="20"/>
                <w:szCs w:val="30"/>
                <w:rtl/>
                <w:lang w:val="en-GB" w:bidi="ar-EG"/>
              </w:rPr>
              <w:t xml:space="preserve">، انظر الشريحة الأخيرة في </w:t>
            </w:r>
            <w:r w:rsidR="00021F4E">
              <w:rPr>
                <w:rFonts w:cs="Traditional Arabic" w:hint="cs"/>
                <w:sz w:val="20"/>
                <w:szCs w:val="30"/>
                <w:rtl/>
                <w:lang w:val="en-GB" w:bidi="ar-EG"/>
              </w:rPr>
              <w:t xml:space="preserve">هذه الوحدة </w:t>
            </w:r>
          </w:p>
          <w:p w:rsidR="000505CF" w:rsidRPr="0026201A" w:rsidRDefault="000505CF" w:rsidP="00021F4E">
            <w:pPr>
              <w:keepNext/>
              <w:numPr>
                <w:ilvl w:val="0"/>
                <w:numId w:val="4"/>
              </w:numPr>
              <w:bidi/>
              <w:ind w:right="22"/>
              <w:jc w:val="lowKashida"/>
              <w:rPr>
                <w:rFonts w:cs="Traditional Arabic"/>
                <w:sz w:val="20"/>
                <w:szCs w:val="30"/>
                <w:lang w:val="en-GB"/>
              </w:rPr>
            </w:pPr>
            <w:r w:rsidRPr="0026201A">
              <w:rPr>
                <w:rFonts w:cs="Traditional Arabic"/>
                <w:iCs/>
                <w:sz w:val="20"/>
                <w:szCs w:val="30"/>
                <w:rtl/>
                <w:lang w:val="en-GB" w:bidi="ar-EG"/>
              </w:rPr>
              <w:t>التدريب في مجال حقوق الإنسان: دليل عن منهجية التدريب في مجال حقوق الإنسان</w:t>
            </w:r>
            <w:r w:rsidRPr="0026201A">
              <w:rPr>
                <w:rFonts w:cs="Traditional Arabic"/>
                <w:i/>
                <w:sz w:val="20"/>
                <w:szCs w:val="30"/>
                <w:rtl/>
                <w:lang w:val="en-GB" w:bidi="ar-EG"/>
              </w:rPr>
              <w:t xml:space="preserve">، سلسلة التدريب المهني رقم 6 </w:t>
            </w:r>
          </w:p>
          <w:p w:rsidR="000505CF" w:rsidRPr="0026201A" w:rsidRDefault="001E6820" w:rsidP="00C05025">
            <w:pPr>
              <w:keepNext/>
              <w:numPr>
                <w:ilvl w:val="0"/>
                <w:numId w:val="4"/>
              </w:numPr>
              <w:bidi/>
              <w:ind w:right="22"/>
              <w:jc w:val="lowKashida"/>
              <w:rPr>
                <w:rFonts w:cs="Traditional Arabic"/>
                <w:sz w:val="20"/>
                <w:szCs w:val="30"/>
              </w:rPr>
            </w:pPr>
            <w:r>
              <w:rPr>
                <w:rFonts w:cs="Traditional Arabic" w:hint="cs"/>
                <w:sz w:val="20"/>
                <w:szCs w:val="30"/>
                <w:rtl/>
                <w:lang w:val="en-GB" w:bidi="ar-EG"/>
              </w:rPr>
              <w:t>لمعرفة</w:t>
            </w:r>
            <w:r w:rsidR="000505CF" w:rsidRPr="0026201A">
              <w:rPr>
                <w:rFonts w:cs="Traditional Arabic"/>
                <w:sz w:val="20"/>
                <w:szCs w:val="30"/>
                <w:rtl/>
                <w:lang w:val="en-GB" w:bidi="ar-EG"/>
              </w:rPr>
              <w:t xml:space="preserve"> تقنيات التدريب، بما في ذلك </w:t>
            </w:r>
            <w:r w:rsidR="00C05025">
              <w:rPr>
                <w:rFonts w:cs="Traditional Arabic" w:hint="cs"/>
                <w:sz w:val="20"/>
                <w:szCs w:val="30"/>
                <w:rtl/>
                <w:lang w:val="en-GB" w:bidi="ar-EG"/>
              </w:rPr>
              <w:t>مجموعة</w:t>
            </w:r>
            <w:r w:rsidR="000505CF" w:rsidRPr="0026201A">
              <w:rPr>
                <w:rFonts w:cs="Traditional Arabic"/>
                <w:sz w:val="20"/>
                <w:szCs w:val="30"/>
                <w:rtl/>
                <w:lang w:val="en-GB" w:bidi="ar-EG"/>
              </w:rPr>
              <w:t xml:space="preserve"> وسائل إذابة الجليد، انظر المواد الصادرة عن قسم المنهجية والتعليم والتدريب في المفوضية السامية لحقوق الإنسان</w:t>
            </w:r>
          </w:p>
        </w:tc>
      </w:tr>
      <w:tr w:rsidR="000505CF" w:rsidRPr="0026201A" w:rsidTr="00EE4F34">
        <w:trPr>
          <w:trHeight w:val="1809"/>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EE4F34" w:rsidRPr="0026201A" w:rsidRDefault="00E831C4" w:rsidP="00EE4F34">
            <w:pPr>
              <w:keepNext/>
              <w:bidi/>
              <w:jc w:val="center"/>
              <w:rPr>
                <w:rFonts w:cs="Traditional Arabic"/>
                <w:bCs/>
                <w:sz w:val="20"/>
                <w:szCs w:val="30"/>
                <w:lang w:val="en-GB"/>
              </w:rPr>
            </w:pPr>
            <w:r>
              <w:rPr>
                <w:rFonts w:cs="Traditional Arabic"/>
                <w:noProof/>
                <w:sz w:val="20"/>
                <w:szCs w:val="30"/>
              </w:rPr>
              <w:drawing>
                <wp:inline distT="0" distB="0" distL="0" distR="0" wp14:anchorId="1E938C8C" wp14:editId="1D838EAF">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Pr="0026201A" w:rsidRDefault="000505CF" w:rsidP="001E6820">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شرائح </w:t>
            </w:r>
            <w:r w:rsidR="001E6820">
              <w:rPr>
                <w:rFonts w:cs="Traditional Arabic" w:hint="cs"/>
                <w:sz w:val="20"/>
                <w:szCs w:val="30"/>
                <w:rtl/>
                <w:lang w:val="en-GB" w:bidi="ar-EG"/>
              </w:rPr>
              <w:t>حاسوبي</w:t>
            </w:r>
            <w:r w:rsidR="00EE4F34">
              <w:rPr>
                <w:rFonts w:cs="Traditional Arabic" w:hint="cs"/>
                <w:sz w:val="20"/>
                <w:szCs w:val="30"/>
                <w:rtl/>
                <w:lang w:val="en-GB" w:bidi="ar-EG"/>
              </w:rPr>
              <w:t>ة</w:t>
            </w:r>
            <w:r w:rsidRPr="0026201A">
              <w:rPr>
                <w:rFonts w:cs="Traditional Arabic"/>
                <w:sz w:val="20"/>
                <w:szCs w:val="30"/>
                <w:rtl/>
                <w:lang w:val="en-GB" w:bidi="ar-EG"/>
              </w:rPr>
              <w:t xml:space="preserve"> (طبع 4 شرائح في كل صفحة) </w:t>
            </w:r>
          </w:p>
          <w:p w:rsidR="000505CF" w:rsidRDefault="00EE4F34" w:rsidP="0026201A">
            <w:pPr>
              <w:keepNext/>
              <w:numPr>
                <w:ilvl w:val="0"/>
                <w:numId w:val="1"/>
              </w:numPr>
              <w:tabs>
                <w:tab w:val="clear" w:pos="720"/>
                <w:tab w:val="num" w:pos="431"/>
              </w:tabs>
              <w:bidi/>
              <w:ind w:left="431"/>
              <w:rPr>
                <w:rFonts w:cs="Traditional Arabic"/>
                <w:sz w:val="20"/>
                <w:szCs w:val="30"/>
                <w:lang w:val="en-GB"/>
              </w:rPr>
            </w:pPr>
            <w:r>
              <w:rPr>
                <w:rFonts w:cs="Traditional Arabic" w:hint="cs"/>
                <w:sz w:val="20"/>
                <w:szCs w:val="30"/>
                <w:rtl/>
                <w:lang w:val="en-GB" w:bidi="ar-EG"/>
              </w:rPr>
              <w:t>اتفاقية حقوق الأشخاص ذوي الإعاقة</w:t>
            </w:r>
          </w:p>
          <w:p w:rsidR="000505CF" w:rsidRPr="0026201A" w:rsidRDefault="00EE4F34" w:rsidP="00EE4F34">
            <w:pPr>
              <w:keepNext/>
              <w:numPr>
                <w:ilvl w:val="0"/>
                <w:numId w:val="1"/>
              </w:numPr>
              <w:tabs>
                <w:tab w:val="clear" w:pos="720"/>
                <w:tab w:val="num" w:pos="431"/>
              </w:tabs>
              <w:bidi/>
              <w:ind w:left="431"/>
              <w:rPr>
                <w:rFonts w:cs="Traditional Arabic"/>
                <w:sz w:val="20"/>
                <w:szCs w:val="30"/>
                <w:lang w:val="en-GB"/>
              </w:rPr>
            </w:pPr>
            <w:r>
              <w:rPr>
                <w:rFonts w:cs="Traditional Arabic" w:hint="cs"/>
                <w:sz w:val="20"/>
                <w:szCs w:val="30"/>
                <w:rtl/>
                <w:lang w:val="en-GB"/>
              </w:rPr>
              <w:t>المفوضية، أسئلة متكررة عن الاتفاقية</w:t>
            </w: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E831C4"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912E55">
            <w:pPr>
              <w:keepNext/>
              <w:numPr>
                <w:ilvl w:val="0"/>
                <w:numId w:val="1"/>
              </w:numPr>
              <w:tabs>
                <w:tab w:val="clear" w:pos="720"/>
                <w:tab w:val="num" w:pos="431"/>
              </w:tabs>
              <w:bidi/>
              <w:ind w:left="431"/>
              <w:jc w:val="both"/>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0505CF" w:rsidRPr="0026201A" w:rsidRDefault="00EE4F34" w:rsidP="00912E55">
            <w:pPr>
              <w:keepNext/>
              <w:numPr>
                <w:ilvl w:val="0"/>
                <w:numId w:val="1"/>
              </w:numPr>
              <w:tabs>
                <w:tab w:val="clear" w:pos="720"/>
                <w:tab w:val="num" w:pos="431"/>
              </w:tabs>
              <w:bidi/>
              <w:ind w:left="431"/>
              <w:jc w:val="both"/>
              <w:rPr>
                <w:rFonts w:cs="Traditional Arabic"/>
                <w:sz w:val="20"/>
                <w:szCs w:val="30"/>
                <w:lang w:val="en-GB"/>
              </w:rPr>
            </w:pPr>
            <w:r>
              <w:rPr>
                <w:rFonts w:cs="Traditional Arabic" w:hint="cs"/>
                <w:sz w:val="20"/>
                <w:szCs w:val="30"/>
                <w:rtl/>
                <w:lang w:val="en-GB" w:bidi="ar-EG"/>
              </w:rPr>
              <w:t>تقرير مفوضة الأمم المتحدة السامية لحقوق الإنسان عن التقدم المحرز في تنفيذ التوصيات الواردة في الدر</w:t>
            </w:r>
            <w:r w:rsidR="00912E55">
              <w:rPr>
                <w:rFonts w:cs="Traditional Arabic" w:hint="cs"/>
                <w:sz w:val="20"/>
                <w:szCs w:val="30"/>
                <w:rtl/>
                <w:lang w:val="en-GB" w:bidi="ar-EG"/>
              </w:rPr>
              <w:t>ا</w:t>
            </w:r>
            <w:r>
              <w:rPr>
                <w:rFonts w:cs="Traditional Arabic" w:hint="cs"/>
                <w:sz w:val="20"/>
                <w:szCs w:val="30"/>
                <w:rtl/>
                <w:lang w:val="en-GB" w:bidi="ar-EG"/>
              </w:rPr>
              <w:t>سة عن حقوق الإنسان للمعوقين" (</w:t>
            </w:r>
            <w:r w:rsidR="00910D59" w:rsidRPr="00782A6C">
              <w:rPr>
                <w:rFonts w:ascii="Arial" w:hAnsi="Arial" w:cs="Arial"/>
                <w:bCs/>
                <w:lang w:val="en-GB"/>
              </w:rPr>
              <w:t>A/HRC/4/75</w:t>
            </w:r>
            <w:r w:rsidR="00910D59">
              <w:rPr>
                <w:rFonts w:cs="Traditional Arabic" w:hint="cs"/>
                <w:sz w:val="20"/>
                <w:szCs w:val="30"/>
                <w:rtl/>
                <w:lang w:val="en-GB" w:bidi="ar-EG"/>
              </w:rPr>
              <w:t xml:space="preserve">) </w:t>
            </w:r>
          </w:p>
          <w:p w:rsidR="000505CF" w:rsidRDefault="00910D59" w:rsidP="00912E55">
            <w:pPr>
              <w:keepNext/>
              <w:numPr>
                <w:ilvl w:val="0"/>
                <w:numId w:val="1"/>
              </w:numPr>
              <w:tabs>
                <w:tab w:val="num" w:pos="431"/>
              </w:tabs>
              <w:bidi/>
              <w:ind w:left="431"/>
              <w:jc w:val="both"/>
              <w:rPr>
                <w:rFonts w:cs="Traditional Arabic"/>
                <w:color w:val="000000"/>
                <w:sz w:val="20"/>
                <w:szCs w:val="30"/>
                <w:lang w:val="en-GB"/>
              </w:rPr>
            </w:pPr>
            <w:r>
              <w:rPr>
                <w:rFonts w:cs="Traditional Arabic" w:hint="cs"/>
                <w:color w:val="000000"/>
                <w:sz w:val="20"/>
                <w:szCs w:val="30"/>
                <w:rtl/>
                <w:lang w:val="en-GB"/>
              </w:rPr>
              <w:t>الدراسة المواضيعية التي أعدتها المفوضية السامية لحقوق الإنسان لزيادة التوعية باتفاقية حقوق الأشخاص ذوي الإعاقة وفهمها" (</w:t>
            </w:r>
            <w:r w:rsidRPr="00782A6C">
              <w:rPr>
                <w:rFonts w:ascii="Arial" w:hAnsi="Arial" w:cs="Arial"/>
                <w:bCs/>
                <w:lang w:val="en-GB"/>
              </w:rPr>
              <w:t>A/HRC/10/48</w:t>
            </w:r>
            <w:r>
              <w:rPr>
                <w:rFonts w:cs="Traditional Arabic" w:hint="cs"/>
                <w:color w:val="000000"/>
                <w:sz w:val="20"/>
                <w:szCs w:val="30"/>
                <w:rtl/>
                <w:lang w:val="en-GB"/>
              </w:rPr>
              <w:t>)</w:t>
            </w:r>
          </w:p>
          <w:p w:rsidR="00910D59" w:rsidRDefault="00910D59" w:rsidP="00912E55">
            <w:pPr>
              <w:keepNext/>
              <w:numPr>
                <w:ilvl w:val="0"/>
                <w:numId w:val="1"/>
              </w:numPr>
              <w:tabs>
                <w:tab w:val="num" w:pos="431"/>
              </w:tabs>
              <w:bidi/>
              <w:ind w:left="431"/>
              <w:jc w:val="both"/>
              <w:rPr>
                <w:rFonts w:cs="Traditional Arabic"/>
                <w:color w:val="000000"/>
                <w:sz w:val="20"/>
                <w:szCs w:val="30"/>
                <w:lang w:val="en-GB"/>
              </w:rPr>
            </w:pPr>
            <w:r>
              <w:rPr>
                <w:rFonts w:cs="Traditional Arabic" w:hint="cs"/>
                <w:color w:val="000000"/>
                <w:sz w:val="20"/>
                <w:szCs w:val="30"/>
                <w:rtl/>
                <w:lang w:val="en-GB"/>
              </w:rPr>
              <w:t>المفوضية، أسئلة متكررة عن اتفاقية حقوق الأشخاص ذوي الإعاقة</w:t>
            </w:r>
          </w:p>
          <w:p w:rsidR="00910D59" w:rsidRDefault="00910D59" w:rsidP="00910D59">
            <w:pPr>
              <w:keepNext/>
              <w:numPr>
                <w:ilvl w:val="0"/>
                <w:numId w:val="1"/>
              </w:numPr>
              <w:tabs>
                <w:tab w:val="num" w:pos="431"/>
              </w:tabs>
              <w:bidi/>
              <w:ind w:left="431"/>
              <w:jc w:val="lowKashida"/>
              <w:rPr>
                <w:rFonts w:cs="Traditional Arabic"/>
                <w:color w:val="000000"/>
                <w:sz w:val="20"/>
                <w:szCs w:val="30"/>
                <w:lang w:val="en-GB"/>
              </w:rPr>
            </w:pPr>
            <w:r>
              <w:rPr>
                <w:rFonts w:cs="Traditional Arabic" w:hint="cs"/>
                <w:color w:val="000000"/>
                <w:sz w:val="20"/>
                <w:szCs w:val="30"/>
                <w:rtl/>
                <w:lang w:val="en-GB"/>
              </w:rPr>
              <w:lastRenderedPageBreak/>
              <w:t xml:space="preserve">الأمم المتحدة، </w:t>
            </w:r>
            <w:r>
              <w:rPr>
                <w:rFonts w:cs="Traditional Arabic" w:hint="cs"/>
                <w:i/>
                <w:iCs/>
                <w:color w:val="000000"/>
                <w:sz w:val="20"/>
                <w:szCs w:val="30"/>
                <w:rtl/>
                <w:lang w:val="en-GB"/>
              </w:rPr>
              <w:t xml:space="preserve">رصد اتفاقية حقوق الأشخاص ذوي الإعاقة: دليل مراقبي حقوق الإنسان، </w:t>
            </w:r>
            <w:r>
              <w:rPr>
                <w:rFonts w:cs="Traditional Arabic" w:hint="cs"/>
                <w:color w:val="000000"/>
                <w:sz w:val="20"/>
                <w:szCs w:val="30"/>
                <w:rtl/>
                <w:lang w:val="en-GB"/>
              </w:rPr>
              <w:t>سلسلة التدريب المهني رقم 17 (</w:t>
            </w:r>
            <w:r>
              <w:rPr>
                <w:rFonts w:ascii="Arial" w:hAnsi="Arial" w:cs="Arial"/>
                <w:bCs/>
                <w:lang w:val="en-GB"/>
              </w:rPr>
              <w:t>HR/P/PT/17</w:t>
            </w:r>
            <w:r>
              <w:rPr>
                <w:rFonts w:cs="Traditional Arabic" w:hint="cs"/>
                <w:color w:val="000000"/>
                <w:sz w:val="20"/>
                <w:szCs w:val="30"/>
                <w:rtl/>
                <w:lang w:val="en-GB"/>
              </w:rPr>
              <w:t>)</w:t>
            </w:r>
          </w:p>
          <w:p w:rsidR="007C127D" w:rsidRPr="0026201A" w:rsidRDefault="007C127D" w:rsidP="00912E55">
            <w:pPr>
              <w:keepNext/>
              <w:numPr>
                <w:ilvl w:val="0"/>
                <w:numId w:val="1"/>
              </w:numPr>
              <w:tabs>
                <w:tab w:val="num" w:pos="431"/>
              </w:tabs>
              <w:bidi/>
              <w:ind w:left="431"/>
              <w:jc w:val="lowKashida"/>
              <w:rPr>
                <w:rFonts w:cs="Traditional Arabic"/>
                <w:color w:val="000000"/>
                <w:sz w:val="20"/>
                <w:szCs w:val="30"/>
                <w:lang w:val="en-GB"/>
              </w:rPr>
            </w:pPr>
            <w:r>
              <w:rPr>
                <w:rFonts w:cs="Traditional Arabic" w:hint="cs"/>
                <w:i/>
                <w:iCs/>
                <w:color w:val="000000"/>
                <w:sz w:val="20"/>
                <w:szCs w:val="30"/>
                <w:rtl/>
                <w:lang w:val="en-GB"/>
              </w:rPr>
              <w:t xml:space="preserve">من </w:t>
            </w:r>
            <w:r w:rsidR="00912E55">
              <w:rPr>
                <w:rFonts w:cs="Traditional Arabic" w:hint="cs"/>
                <w:i/>
                <w:iCs/>
                <w:color w:val="000000"/>
                <w:sz w:val="20"/>
                <w:szCs w:val="30"/>
                <w:rtl/>
                <w:lang w:val="en-GB"/>
              </w:rPr>
              <w:t>الاقصاء</w:t>
            </w:r>
            <w:r>
              <w:rPr>
                <w:rFonts w:cs="Traditional Arabic" w:hint="cs"/>
                <w:i/>
                <w:iCs/>
                <w:color w:val="000000"/>
                <w:sz w:val="20"/>
                <w:szCs w:val="30"/>
                <w:rtl/>
                <w:lang w:val="en-GB"/>
              </w:rPr>
              <w:t xml:space="preserve"> إلى المساواة: إعمال حقوق الأشخاص ذوي الإعاقة </w:t>
            </w:r>
            <w:r>
              <w:rPr>
                <w:rFonts w:cs="Traditional Arabic"/>
                <w:i/>
                <w:iCs/>
                <w:color w:val="000000"/>
                <w:sz w:val="20"/>
                <w:szCs w:val="30"/>
                <w:rtl/>
                <w:lang w:val="en-GB"/>
              </w:rPr>
              <w:t>–</w:t>
            </w:r>
            <w:r>
              <w:rPr>
                <w:rFonts w:cs="Traditional Arabic" w:hint="cs"/>
                <w:i/>
                <w:iCs/>
                <w:color w:val="000000"/>
                <w:sz w:val="20"/>
                <w:szCs w:val="30"/>
                <w:rtl/>
                <w:lang w:val="en-GB"/>
              </w:rPr>
              <w:t xml:space="preserve"> دليل للبرلمانيين بشأن اتفاقية حقوق الأشخاص ذوي الإعاقة وبروتوكولها الاختياري</w:t>
            </w:r>
            <w:r>
              <w:rPr>
                <w:rFonts w:cs="Traditional Arabic" w:hint="cs"/>
                <w:color w:val="000000"/>
                <w:sz w:val="20"/>
                <w:szCs w:val="30"/>
                <w:rtl/>
                <w:lang w:val="en-GB"/>
              </w:rPr>
              <w:t xml:space="preserve"> (</w:t>
            </w:r>
            <w:r w:rsidRPr="00782A6C">
              <w:rPr>
                <w:rFonts w:ascii="Arial" w:hAnsi="Arial" w:cs="Arial"/>
                <w:bCs/>
                <w:lang w:val="en-GB"/>
              </w:rPr>
              <w:t>HR/PUB/07/6</w:t>
            </w:r>
            <w:r>
              <w:rPr>
                <w:rFonts w:cs="Traditional Arabic" w:hint="cs"/>
                <w:color w:val="000000"/>
                <w:sz w:val="20"/>
                <w:szCs w:val="30"/>
                <w:rtl/>
                <w:lang w:val="en-GB"/>
              </w:rPr>
              <w:t>)</w:t>
            </w:r>
          </w:p>
        </w:tc>
      </w:tr>
    </w:tbl>
    <w:p w:rsidR="000505CF" w:rsidRPr="0026201A" w:rsidRDefault="000505CF" w:rsidP="0026201A">
      <w:pPr>
        <w:keepNext/>
        <w:rPr>
          <w:rFonts w:cs="Traditional Arabic"/>
          <w:b/>
          <w:bCs/>
          <w:color w:val="1F497D"/>
          <w:sz w:val="20"/>
          <w:szCs w:val="30"/>
          <w:u w:val="single"/>
          <w:lang w:val="en-GB"/>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26201A" w:rsidRDefault="000505CF" w:rsidP="0026201A">
      <w:pPr>
        <w:keepNext/>
        <w:bidi/>
        <w:spacing w:line="400" w:lineRule="exact"/>
        <w:jc w:val="lowKashida"/>
        <w:rPr>
          <w:rFonts w:cs="Traditional Arabic"/>
          <w:sz w:val="20"/>
          <w:szCs w:val="30"/>
          <w:lang w:val="en-GB"/>
        </w:rPr>
      </w:pPr>
    </w:p>
    <w:p w:rsidR="000505CF" w:rsidRDefault="000505CF" w:rsidP="007C127D">
      <w:pPr>
        <w:keepNext/>
        <w:bidi/>
        <w:spacing w:line="400" w:lineRule="exact"/>
        <w:jc w:val="lowKashida"/>
        <w:rPr>
          <w:rFonts w:cs="Traditional Arabic"/>
          <w:sz w:val="20"/>
          <w:szCs w:val="30"/>
          <w:rtl/>
          <w:lang w:val="en-GB"/>
        </w:rPr>
      </w:pPr>
      <w:r w:rsidRPr="0026201A">
        <w:rPr>
          <w:rFonts w:cs="Traditional Arabic"/>
          <w:sz w:val="20"/>
          <w:szCs w:val="30"/>
          <w:rtl/>
          <w:lang w:val="en-GB"/>
        </w:rPr>
        <w:t xml:space="preserve">في نهاية الوحدة </w:t>
      </w:r>
      <w:r w:rsidR="007C127D">
        <w:rPr>
          <w:rFonts w:cs="Traditional Arabic" w:hint="cs"/>
          <w:sz w:val="20"/>
          <w:szCs w:val="30"/>
          <w:rtl/>
          <w:lang w:val="en-GB"/>
        </w:rPr>
        <w:t>2</w:t>
      </w:r>
      <w:r w:rsidRPr="0026201A">
        <w:rPr>
          <w:rFonts w:cs="Traditional Arabic"/>
          <w:sz w:val="20"/>
          <w:szCs w:val="30"/>
          <w:rtl/>
          <w:lang w:val="en-GB"/>
        </w:rPr>
        <w:t xml:space="preserve"> سيتمكَّن المشاركون من</w:t>
      </w:r>
      <w:r w:rsidR="007C127D">
        <w:rPr>
          <w:rFonts w:cs="Traditional Arabic" w:hint="cs"/>
          <w:sz w:val="20"/>
          <w:szCs w:val="30"/>
          <w:rtl/>
          <w:lang w:val="en-GB"/>
        </w:rPr>
        <w:t>:</w:t>
      </w:r>
    </w:p>
    <w:p w:rsidR="007C127D" w:rsidRDefault="007C127D" w:rsidP="007C127D">
      <w:pPr>
        <w:pStyle w:val="ListParagraph"/>
        <w:keepNext/>
        <w:numPr>
          <w:ilvl w:val="0"/>
          <w:numId w:val="8"/>
        </w:numPr>
        <w:bidi/>
        <w:spacing w:line="400" w:lineRule="exact"/>
        <w:jc w:val="lowKashida"/>
        <w:rPr>
          <w:rFonts w:cs="Traditional Arabic"/>
          <w:sz w:val="20"/>
          <w:szCs w:val="30"/>
          <w:lang w:val="en-GB"/>
        </w:rPr>
      </w:pPr>
      <w:r>
        <w:rPr>
          <w:rFonts w:cs="Traditional Arabic" w:hint="cs"/>
          <w:sz w:val="20"/>
          <w:szCs w:val="30"/>
          <w:rtl/>
          <w:lang w:val="en-GB"/>
        </w:rPr>
        <w:t>الإجابة على الأسئلة الأساسية حول اتفاقية حقوق الأشخاص ذوي الإعاقة، مثل سبب أهميتها، والأشخاص المشمولين بحمايتها وماذا ينبغي القيام به من أجل احترام حقوق الأشخاص ذوي الإعاقة.</w:t>
      </w:r>
    </w:p>
    <w:p w:rsidR="000505CF" w:rsidRPr="007C127D" w:rsidRDefault="000505CF" w:rsidP="0026201A">
      <w:pPr>
        <w:keepNext/>
        <w:bidi/>
        <w:spacing w:line="400" w:lineRule="exact"/>
        <w:jc w:val="lowKashida"/>
        <w:rPr>
          <w:rFonts w:cs="Traditional Arabic"/>
          <w:sz w:val="20"/>
          <w:szCs w:val="30"/>
          <w:lang w:val="en-GB"/>
        </w:rPr>
      </w:pPr>
    </w:p>
    <w:p w:rsidR="000505CF" w:rsidRPr="0026201A" w:rsidRDefault="007C127D" w:rsidP="00912E55">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 xml:space="preserve">النهج </w:t>
      </w:r>
      <w:r w:rsidR="00912E55">
        <w:rPr>
          <w:rFonts w:cs="Traditional Arabic" w:hint="cs"/>
          <w:b/>
          <w:bCs/>
          <w:color w:val="1F497D"/>
          <w:sz w:val="20"/>
          <w:szCs w:val="30"/>
          <w:u w:val="single"/>
          <w:rtl/>
          <w:lang w:val="en-GB"/>
        </w:rPr>
        <w:t>المتبع في</w:t>
      </w:r>
      <w:r>
        <w:rPr>
          <w:rFonts w:cs="Traditional Arabic" w:hint="cs"/>
          <w:b/>
          <w:bCs/>
          <w:color w:val="1F497D"/>
          <w:sz w:val="20"/>
          <w:szCs w:val="30"/>
          <w:u w:val="single"/>
          <w:rtl/>
          <w:lang w:val="en-GB"/>
        </w:rPr>
        <w:t xml:space="preserve"> الوحدة 2</w:t>
      </w:r>
    </w:p>
    <w:p w:rsidR="000505CF" w:rsidRPr="0026201A" w:rsidRDefault="000505CF" w:rsidP="0026201A">
      <w:pPr>
        <w:keepNext/>
        <w:bidi/>
        <w:spacing w:line="400" w:lineRule="exact"/>
        <w:jc w:val="lowKashida"/>
        <w:rPr>
          <w:rFonts w:cs="Traditional Arabic"/>
          <w:sz w:val="20"/>
          <w:szCs w:val="30"/>
        </w:rPr>
      </w:pPr>
    </w:p>
    <w:p w:rsidR="007C127D" w:rsidRDefault="007C127D" w:rsidP="00F21F36">
      <w:pPr>
        <w:keepNext/>
        <w:bidi/>
        <w:spacing w:line="400" w:lineRule="exact"/>
        <w:jc w:val="lowKashida"/>
        <w:rPr>
          <w:rFonts w:cs="Traditional Arabic"/>
          <w:sz w:val="20"/>
          <w:szCs w:val="30"/>
          <w:rtl/>
          <w:lang w:val="en-GB"/>
        </w:rPr>
      </w:pPr>
      <w:r>
        <w:rPr>
          <w:rFonts w:cs="Traditional Arabic" w:hint="cs"/>
          <w:sz w:val="20"/>
          <w:szCs w:val="30"/>
          <w:rtl/>
          <w:lang w:val="en-GB"/>
        </w:rPr>
        <w:t xml:space="preserve">الوحدة 2 هي جلسة تمهيدية لمختلف القضايا المشمولة في </w:t>
      </w:r>
      <w:r w:rsidR="00F21F36">
        <w:rPr>
          <w:rFonts w:cs="Traditional Arabic" w:hint="cs"/>
          <w:sz w:val="20"/>
          <w:szCs w:val="30"/>
          <w:rtl/>
          <w:lang w:val="en-GB"/>
        </w:rPr>
        <w:t xml:space="preserve">هذه </w:t>
      </w:r>
      <w:r>
        <w:rPr>
          <w:rFonts w:cs="Traditional Arabic" w:hint="cs"/>
          <w:sz w:val="20"/>
          <w:szCs w:val="30"/>
          <w:rtl/>
          <w:lang w:val="en-GB"/>
        </w:rPr>
        <w:t>المجموعة التدريبية</w:t>
      </w:r>
    </w:p>
    <w:p w:rsidR="007C127D" w:rsidRDefault="007C127D" w:rsidP="007C127D">
      <w:pPr>
        <w:keepNext/>
        <w:bidi/>
        <w:spacing w:line="400" w:lineRule="exact"/>
        <w:jc w:val="lowKashida"/>
        <w:rPr>
          <w:rFonts w:cs="Traditional Arabic"/>
          <w:sz w:val="20"/>
          <w:szCs w:val="30"/>
          <w:rtl/>
          <w:lang w:val="en-GB"/>
        </w:rPr>
      </w:pPr>
    </w:p>
    <w:p w:rsidR="007C127D" w:rsidRDefault="007C127D" w:rsidP="00683944">
      <w:pPr>
        <w:keepNext/>
        <w:bidi/>
        <w:spacing w:line="400" w:lineRule="exact"/>
        <w:jc w:val="lowKashida"/>
        <w:rPr>
          <w:rFonts w:cs="Traditional Arabic"/>
          <w:sz w:val="20"/>
          <w:szCs w:val="30"/>
          <w:rtl/>
          <w:lang w:val="en-GB"/>
        </w:rPr>
      </w:pPr>
      <w:r>
        <w:rPr>
          <w:rFonts w:cs="Traditional Arabic" w:hint="cs"/>
          <w:sz w:val="20"/>
          <w:szCs w:val="30"/>
          <w:rtl/>
          <w:lang w:val="en-GB"/>
        </w:rPr>
        <w:t xml:space="preserve">وسوف تُناقش معظم الموضوعات المقدَّمة في الوحدة 2 بتفصيل أكبر </w:t>
      </w:r>
      <w:r w:rsidR="00683944">
        <w:rPr>
          <w:rFonts w:cs="Traditional Arabic" w:hint="cs"/>
          <w:sz w:val="20"/>
          <w:szCs w:val="30"/>
          <w:rtl/>
          <w:lang w:val="en-GB"/>
        </w:rPr>
        <w:t>في كل مراحل</w:t>
      </w:r>
      <w:r>
        <w:rPr>
          <w:rFonts w:cs="Traditional Arabic" w:hint="cs"/>
          <w:sz w:val="20"/>
          <w:szCs w:val="30"/>
          <w:rtl/>
          <w:lang w:val="en-GB"/>
        </w:rPr>
        <w:t xml:space="preserve"> المجموعة التدريبية. ولذلك ينبغي للميسِّر تجنب الكشف </w:t>
      </w:r>
      <w:r w:rsidR="00DA6396">
        <w:rPr>
          <w:rFonts w:cs="Traditional Arabic" w:hint="cs"/>
          <w:sz w:val="20"/>
          <w:szCs w:val="30"/>
          <w:rtl/>
          <w:lang w:val="en-GB"/>
        </w:rPr>
        <w:t xml:space="preserve">عن معلومات </w:t>
      </w:r>
      <w:r>
        <w:rPr>
          <w:rFonts w:cs="Traditional Arabic" w:hint="cs"/>
          <w:sz w:val="20"/>
          <w:szCs w:val="30"/>
          <w:rtl/>
          <w:lang w:val="en-GB"/>
        </w:rPr>
        <w:t>أكثر من اللازم أثناء الوحدة 2، وذلك أيضاً نظراً لضغوط الوقت. ومن المهم على سبيل المثال تخصيص بعض الوقت لشرح السبب في أهمية وجود اتفاقية جديدة والتركيز على الجوانب الابتكارية الرئيسية في اتفاقية حقوق الأشخاص ذوي الإعاقة.</w:t>
      </w:r>
    </w:p>
    <w:p w:rsidR="007C127D" w:rsidRDefault="007C127D" w:rsidP="007C127D">
      <w:pPr>
        <w:keepNext/>
        <w:bidi/>
        <w:spacing w:line="400" w:lineRule="exact"/>
        <w:jc w:val="lowKashida"/>
        <w:rPr>
          <w:rFonts w:cs="Traditional Arabic"/>
          <w:sz w:val="20"/>
          <w:szCs w:val="30"/>
          <w:rtl/>
          <w:lang w:val="en-GB"/>
        </w:rPr>
      </w:pPr>
    </w:p>
    <w:p w:rsidR="007C127D" w:rsidRDefault="007C127D" w:rsidP="00DA6396">
      <w:pPr>
        <w:keepNext/>
        <w:bidi/>
        <w:spacing w:line="400" w:lineRule="exact"/>
        <w:jc w:val="lowKashida"/>
        <w:rPr>
          <w:rFonts w:cs="Traditional Arabic"/>
          <w:sz w:val="20"/>
          <w:szCs w:val="30"/>
          <w:rtl/>
          <w:lang w:val="en-GB"/>
        </w:rPr>
      </w:pPr>
      <w:r>
        <w:rPr>
          <w:rFonts w:cs="Traditional Arabic" w:hint="cs"/>
          <w:sz w:val="20"/>
          <w:szCs w:val="30"/>
          <w:rtl/>
          <w:lang w:val="en-GB"/>
        </w:rPr>
        <w:t>وينبغي للميسِّر أن يشجِّع على الأسئلة والأجوبة أثناء عرض الشرائح الحاسوبي وأن يكفل أكبر قدر ممكن من التفاعل. و</w:t>
      </w:r>
      <w:r w:rsidR="00DA6396">
        <w:rPr>
          <w:rFonts w:cs="Traditional Arabic" w:hint="cs"/>
          <w:sz w:val="20"/>
          <w:szCs w:val="30"/>
          <w:rtl/>
          <w:lang w:val="en-GB"/>
        </w:rPr>
        <w:t>الأمر الهام هو</w:t>
      </w:r>
      <w:r>
        <w:rPr>
          <w:rFonts w:cs="Traditional Arabic" w:hint="cs"/>
          <w:sz w:val="20"/>
          <w:szCs w:val="30"/>
          <w:rtl/>
          <w:lang w:val="en-GB"/>
        </w:rPr>
        <w:t xml:space="preserve"> أن </w:t>
      </w:r>
      <w:r w:rsidR="00DA6396">
        <w:rPr>
          <w:rFonts w:cs="Traditional Arabic" w:hint="cs"/>
          <w:sz w:val="20"/>
          <w:szCs w:val="30"/>
          <w:rtl/>
          <w:lang w:val="en-GB"/>
        </w:rPr>
        <w:t>تبدو</w:t>
      </w:r>
      <w:r>
        <w:rPr>
          <w:rFonts w:cs="Traditional Arabic" w:hint="cs"/>
          <w:sz w:val="20"/>
          <w:szCs w:val="30"/>
          <w:rtl/>
          <w:lang w:val="en-GB"/>
        </w:rPr>
        <w:t xml:space="preserve"> معظم السمات الرئيسية </w:t>
      </w:r>
      <w:r w:rsidR="00A00CD0">
        <w:rPr>
          <w:rFonts w:cs="Traditional Arabic" w:hint="cs"/>
          <w:sz w:val="20"/>
          <w:szCs w:val="30"/>
          <w:rtl/>
          <w:lang w:val="en-GB"/>
        </w:rPr>
        <w:t xml:space="preserve">للاتفاقية كما لو كانت جديدة </w:t>
      </w:r>
      <w:r w:rsidR="00DA6396">
        <w:rPr>
          <w:rFonts w:cs="Traditional Arabic" w:hint="cs"/>
          <w:sz w:val="20"/>
          <w:szCs w:val="30"/>
          <w:rtl/>
          <w:lang w:val="en-GB"/>
        </w:rPr>
        <w:t>في أعين</w:t>
      </w:r>
      <w:r w:rsidR="00A00CD0">
        <w:rPr>
          <w:rFonts w:cs="Traditional Arabic" w:hint="cs"/>
          <w:sz w:val="20"/>
          <w:szCs w:val="30"/>
          <w:rtl/>
          <w:lang w:val="en-GB"/>
        </w:rPr>
        <w:t xml:space="preserve"> كثير من الناس، بحيث يستطيع المشاركون توجيه أسئلة كثيرة. </w:t>
      </w:r>
    </w:p>
    <w:p w:rsidR="00A00CD0" w:rsidRDefault="00A00CD0" w:rsidP="00A00CD0">
      <w:pPr>
        <w:keepNext/>
        <w:bidi/>
        <w:spacing w:line="400" w:lineRule="exact"/>
        <w:jc w:val="lowKashida"/>
        <w:rPr>
          <w:rFonts w:cs="Traditional Arabic"/>
          <w:sz w:val="20"/>
          <w:szCs w:val="30"/>
          <w:rtl/>
          <w:lang w:val="en-GB"/>
        </w:rPr>
      </w:pPr>
    </w:p>
    <w:p w:rsidR="00A00CD0" w:rsidRDefault="00A00CD0" w:rsidP="00A67A1D">
      <w:pPr>
        <w:keepNext/>
        <w:bidi/>
        <w:spacing w:line="400" w:lineRule="exact"/>
        <w:jc w:val="lowKashida"/>
        <w:rPr>
          <w:rFonts w:cs="Traditional Arabic"/>
          <w:sz w:val="20"/>
          <w:szCs w:val="30"/>
          <w:rtl/>
          <w:lang w:val="en-GB"/>
        </w:rPr>
      </w:pPr>
      <w:r>
        <w:rPr>
          <w:rFonts w:cs="Traditional Arabic" w:hint="cs"/>
          <w:sz w:val="20"/>
          <w:szCs w:val="30"/>
          <w:rtl/>
          <w:lang w:val="en-GB"/>
        </w:rPr>
        <w:t xml:space="preserve">ويستطيع الميسرون </w:t>
      </w:r>
      <w:r w:rsidR="00937F98">
        <w:rPr>
          <w:rFonts w:cs="Traditional Arabic" w:hint="cs"/>
          <w:sz w:val="20"/>
          <w:szCs w:val="30"/>
          <w:rtl/>
          <w:lang w:val="en-GB"/>
        </w:rPr>
        <w:t>م</w:t>
      </w:r>
      <w:r>
        <w:rPr>
          <w:rFonts w:cs="Traditional Arabic" w:hint="cs"/>
          <w:sz w:val="20"/>
          <w:szCs w:val="30"/>
          <w:rtl/>
          <w:lang w:val="en-GB"/>
        </w:rPr>
        <w:t>لاحظة الأسئلة وتقرير ما إن كان يتعيَّن الإجابة عليها أثناء الوحدة</w:t>
      </w:r>
      <w:r w:rsidR="00A67A1D">
        <w:rPr>
          <w:rFonts w:cs="Traditional Arabic" w:hint="cs"/>
          <w:sz w:val="20"/>
          <w:szCs w:val="30"/>
          <w:rtl/>
          <w:lang w:val="en-GB"/>
        </w:rPr>
        <w:t xml:space="preserve"> 2</w:t>
      </w:r>
      <w:r>
        <w:rPr>
          <w:rFonts w:cs="Traditional Arabic" w:hint="cs"/>
          <w:sz w:val="20"/>
          <w:szCs w:val="30"/>
          <w:rtl/>
          <w:lang w:val="en-GB"/>
        </w:rPr>
        <w:t>، أو في نهاي</w:t>
      </w:r>
      <w:r w:rsidR="00A67A1D">
        <w:rPr>
          <w:rFonts w:cs="Traditional Arabic" w:hint="cs"/>
          <w:sz w:val="20"/>
          <w:szCs w:val="30"/>
          <w:rtl/>
          <w:lang w:val="en-GB"/>
        </w:rPr>
        <w:t>تها،</w:t>
      </w:r>
      <w:r>
        <w:rPr>
          <w:rFonts w:cs="Traditional Arabic" w:hint="cs"/>
          <w:sz w:val="20"/>
          <w:szCs w:val="30"/>
          <w:rtl/>
          <w:lang w:val="en-GB"/>
        </w:rPr>
        <w:t xml:space="preserve"> أو تأجيل الإجابة إلى الوحدات الأخرى </w:t>
      </w:r>
      <w:r w:rsidR="001A41C3">
        <w:rPr>
          <w:rFonts w:cs="Traditional Arabic" w:hint="cs"/>
          <w:sz w:val="20"/>
          <w:szCs w:val="30"/>
          <w:rtl/>
          <w:lang w:val="en-GB"/>
        </w:rPr>
        <w:t>التي سيتم فيها</w:t>
      </w:r>
      <w:r>
        <w:rPr>
          <w:rFonts w:cs="Traditional Arabic" w:hint="cs"/>
          <w:sz w:val="20"/>
          <w:szCs w:val="30"/>
          <w:rtl/>
          <w:lang w:val="en-GB"/>
        </w:rPr>
        <w:t xml:space="preserve"> إعطاء أمثلة محدَّدة. (</w:t>
      </w:r>
      <w:r w:rsidR="001A41C3">
        <w:rPr>
          <w:rFonts w:cs="Traditional Arabic" w:hint="cs"/>
          <w:sz w:val="20"/>
          <w:szCs w:val="30"/>
          <w:rtl/>
          <w:lang w:val="en-GB"/>
        </w:rPr>
        <w:t>يجب ألاّ تنسى</w:t>
      </w:r>
      <w:r>
        <w:rPr>
          <w:rFonts w:cs="Traditional Arabic" w:hint="cs"/>
          <w:sz w:val="20"/>
          <w:szCs w:val="30"/>
          <w:rtl/>
          <w:lang w:val="en-GB"/>
        </w:rPr>
        <w:t xml:space="preserve"> الإجابة على جميع أسئلة المشاركين قبل نهاية الوحدة!)</w:t>
      </w:r>
    </w:p>
    <w:p w:rsidR="000505CF" w:rsidRPr="0026201A" w:rsidRDefault="000505CF" w:rsidP="001E6820">
      <w:pPr>
        <w:keepNext/>
        <w:bidi/>
        <w:spacing w:line="400" w:lineRule="exact"/>
        <w:ind w:right="22"/>
        <w:jc w:val="lowKashida"/>
        <w:rPr>
          <w:rFonts w:cs="Traditional Arabic"/>
          <w:sz w:val="20"/>
          <w:szCs w:val="30"/>
          <w:lang w:val="en-GB"/>
        </w:rPr>
      </w:pPr>
    </w:p>
    <w:p w:rsidR="000505CF" w:rsidRPr="0026201A" w:rsidRDefault="00A00CD0" w:rsidP="0026201A">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p>
    <w:p w:rsidR="000505CF" w:rsidRDefault="00A00CD0" w:rsidP="001A41C3">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من المتوقع أن يكيِّف الميسِّر المواد </w:t>
      </w:r>
      <w:r w:rsidR="001A41C3">
        <w:rPr>
          <w:rFonts w:cs="Traditional Arabic" w:hint="cs"/>
          <w:sz w:val="20"/>
          <w:szCs w:val="30"/>
          <w:rtl/>
          <w:lang w:val="en-GB"/>
        </w:rPr>
        <w:t xml:space="preserve">حسب الحاضرين </w:t>
      </w:r>
      <w:r>
        <w:rPr>
          <w:rFonts w:cs="Traditional Arabic" w:hint="cs"/>
          <w:sz w:val="20"/>
          <w:szCs w:val="30"/>
          <w:rtl/>
          <w:lang w:val="en-GB"/>
        </w:rPr>
        <w:t>وحسب السياق الوطني أو الإقليمي. ويتم تقديم عرض الشرائح الحاسوبي والمذكرات باعتبارها أساساً يمكن للميسِّر أن يبني عليه دورة تدريبية تناسب احتياجات المشاركين وظروفهم المحدَّدة.</w:t>
      </w:r>
    </w:p>
    <w:p w:rsidR="00A00CD0" w:rsidRDefault="000A7A6A" w:rsidP="000A7A6A">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تتضمن المذكرات معلومات </w:t>
      </w:r>
      <w:r w:rsidR="00A00CD0">
        <w:rPr>
          <w:rFonts w:cs="Traditional Arabic" w:hint="cs"/>
          <w:sz w:val="20"/>
          <w:szCs w:val="30"/>
          <w:rtl/>
          <w:lang w:val="en-GB"/>
        </w:rPr>
        <w:t xml:space="preserve">عن الاتفاقية لمساعدة الميسِّر في </w:t>
      </w:r>
      <w:r w:rsidR="001A41C3">
        <w:rPr>
          <w:rFonts w:cs="Traditional Arabic" w:hint="cs"/>
          <w:sz w:val="20"/>
          <w:szCs w:val="30"/>
          <w:rtl/>
          <w:lang w:val="en-GB"/>
        </w:rPr>
        <w:t>التحضير</w:t>
      </w:r>
      <w:r>
        <w:rPr>
          <w:rFonts w:cs="Traditional Arabic" w:hint="cs"/>
          <w:sz w:val="20"/>
          <w:szCs w:val="30"/>
          <w:rtl/>
          <w:lang w:val="en-GB"/>
        </w:rPr>
        <w:t>؛</w:t>
      </w:r>
      <w:r w:rsidR="00A00CD0">
        <w:rPr>
          <w:rFonts w:cs="Traditional Arabic" w:hint="cs"/>
          <w:sz w:val="20"/>
          <w:szCs w:val="30"/>
          <w:rtl/>
          <w:lang w:val="en-GB"/>
        </w:rPr>
        <w:t xml:space="preserve"> ولكنها لا </w:t>
      </w:r>
      <w:r>
        <w:rPr>
          <w:rFonts w:cs="Traditional Arabic" w:hint="cs"/>
          <w:sz w:val="20"/>
          <w:szCs w:val="30"/>
          <w:rtl/>
          <w:lang w:val="en-GB"/>
        </w:rPr>
        <w:t xml:space="preserve">تتبع دائماً الترتيب الزمني للشرائح وليس المقصود منها تقديم المحتوى الذي يتضمنه العرض؛ </w:t>
      </w:r>
      <w:r w:rsidR="00A00CD0">
        <w:rPr>
          <w:rFonts w:cs="Traditional Arabic" w:hint="cs"/>
          <w:sz w:val="20"/>
          <w:szCs w:val="30"/>
          <w:rtl/>
          <w:lang w:val="en-GB"/>
        </w:rPr>
        <w:t xml:space="preserve">وبالفعل ينبغي أن يستعمل </w:t>
      </w:r>
      <w:r>
        <w:rPr>
          <w:rFonts w:cs="Traditional Arabic" w:hint="cs"/>
          <w:sz w:val="20"/>
          <w:szCs w:val="30"/>
          <w:rtl/>
          <w:lang w:val="en-GB"/>
        </w:rPr>
        <w:t>الميسِّر</w:t>
      </w:r>
      <w:r w:rsidR="00A00CD0">
        <w:rPr>
          <w:rFonts w:cs="Traditional Arabic" w:hint="cs"/>
          <w:sz w:val="20"/>
          <w:szCs w:val="30"/>
          <w:rtl/>
          <w:lang w:val="en-GB"/>
        </w:rPr>
        <w:t xml:space="preserve"> معارفه العامة عن معاهدات حقوق الإنسان عند عرض هذه الشرائح.</w:t>
      </w:r>
    </w:p>
    <w:p w:rsidR="00A00CD0" w:rsidRDefault="000A7A6A" w:rsidP="009559DE">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تتضمن المذكرات بعض الأمثلة العملية</w:t>
      </w:r>
      <w:r w:rsidR="009559DE">
        <w:rPr>
          <w:rFonts w:cs="Traditional Arabic" w:hint="cs"/>
          <w:sz w:val="20"/>
          <w:szCs w:val="30"/>
          <w:rtl/>
          <w:lang w:val="en-GB"/>
        </w:rPr>
        <w:t>؛</w:t>
      </w:r>
      <w:r>
        <w:rPr>
          <w:rFonts w:cs="Traditional Arabic" w:hint="cs"/>
          <w:sz w:val="20"/>
          <w:szCs w:val="30"/>
          <w:rtl/>
          <w:lang w:val="en-GB"/>
        </w:rPr>
        <w:t xml:space="preserve"> ولكن ينبغي عند إعداد العرض أن يجهِّز الميسِّر بعض الأمثلة الإضافية على أساس خبراته وبحوثه ومع مراعاة الأوضاع المحلية والإقليمية ومصادر المعلومات.</w:t>
      </w:r>
      <w:r w:rsidR="00A00CD0">
        <w:rPr>
          <w:rFonts w:cs="Traditional Arabic" w:hint="cs"/>
          <w:sz w:val="20"/>
          <w:szCs w:val="30"/>
          <w:rtl/>
          <w:lang w:val="en-GB"/>
        </w:rPr>
        <w:t xml:space="preserve"> </w:t>
      </w:r>
    </w:p>
    <w:p w:rsidR="00A00CD0" w:rsidRDefault="00A00CD0" w:rsidP="001A41C3">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تم ترتيب الشرائح في هذه الوحدة في شكل أسئلة وأجوبة. </w:t>
      </w:r>
      <w:r w:rsidR="001A41C3">
        <w:rPr>
          <w:rFonts w:cs="Traditional Arabic" w:hint="cs"/>
          <w:sz w:val="20"/>
          <w:szCs w:val="30"/>
          <w:rtl/>
          <w:lang w:val="en-GB"/>
        </w:rPr>
        <w:t xml:space="preserve">وتعرض </w:t>
      </w:r>
      <w:r>
        <w:rPr>
          <w:rFonts w:cs="Traditional Arabic" w:hint="cs"/>
          <w:sz w:val="20"/>
          <w:szCs w:val="30"/>
          <w:rtl/>
          <w:lang w:val="en-GB"/>
        </w:rPr>
        <w:t xml:space="preserve">الشريحة سؤالاً وتقدِّم أيضاً </w:t>
      </w:r>
      <w:r>
        <w:rPr>
          <w:rFonts w:cs="Traditional Arabic" w:hint="cs"/>
          <w:i/>
          <w:iCs/>
          <w:sz w:val="20"/>
          <w:szCs w:val="30"/>
          <w:rtl/>
          <w:lang w:val="en-GB"/>
        </w:rPr>
        <w:t>إجابة</w:t>
      </w:r>
      <w:r>
        <w:rPr>
          <w:rFonts w:cs="Traditional Arabic" w:hint="cs"/>
          <w:sz w:val="20"/>
          <w:szCs w:val="30"/>
          <w:rtl/>
          <w:lang w:val="en-GB"/>
        </w:rPr>
        <w:t xml:space="preserve">. ومع ذلك ينبغي أن يستعمل الميسِّر شكل الأسئلة والأجوبة لفتح المناقشة بين المشاركين. وقد تكون لدى المشاركين اسئلة عن "الإجابة" المقدَّمة في الشريحة، أو قد تكون لدى المشاركين </w:t>
      </w:r>
      <w:r w:rsidR="001A41C3">
        <w:rPr>
          <w:rFonts w:cs="Traditional Arabic" w:hint="cs"/>
          <w:sz w:val="20"/>
          <w:szCs w:val="30"/>
          <w:rtl/>
          <w:lang w:val="en-GB"/>
        </w:rPr>
        <w:t>أجوبة</w:t>
      </w:r>
      <w:r>
        <w:rPr>
          <w:rFonts w:cs="Traditional Arabic" w:hint="cs"/>
          <w:sz w:val="20"/>
          <w:szCs w:val="30"/>
          <w:rtl/>
          <w:lang w:val="en-GB"/>
        </w:rPr>
        <w:t xml:space="preserve"> مختلفة بدلاً عن ذلك. </w:t>
      </w:r>
    </w:p>
    <w:p w:rsidR="00A00CD0" w:rsidRDefault="00A00CD0" w:rsidP="00A00CD0">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ينبغي أن تكون الاتفاقية أمام جميع المشاركين بحيث يستطيعون </w:t>
      </w:r>
      <w:r w:rsidR="0022023F">
        <w:rPr>
          <w:rFonts w:cs="Traditional Arabic" w:hint="cs"/>
          <w:sz w:val="20"/>
          <w:szCs w:val="30"/>
          <w:rtl/>
          <w:lang w:val="en-GB"/>
        </w:rPr>
        <w:t xml:space="preserve">الرجوع إليها من وقت لآخر، وذلك مثلاً عند </w:t>
      </w:r>
      <w:r w:rsidR="00555E5A">
        <w:rPr>
          <w:rFonts w:cs="Traditional Arabic" w:hint="cs"/>
          <w:sz w:val="20"/>
          <w:szCs w:val="30"/>
          <w:rtl/>
          <w:lang w:val="en-GB"/>
        </w:rPr>
        <w:t xml:space="preserve">عرض </w:t>
      </w:r>
      <w:r w:rsidR="0022023F">
        <w:rPr>
          <w:rFonts w:cs="Traditional Arabic" w:hint="cs"/>
          <w:sz w:val="20"/>
          <w:szCs w:val="30"/>
          <w:rtl/>
          <w:lang w:val="en-GB"/>
        </w:rPr>
        <w:t>الشريحة 6 التي تناقش المبادئ والحقوق.</w:t>
      </w:r>
    </w:p>
    <w:p w:rsidR="0022023F" w:rsidRDefault="0022023F" w:rsidP="009F4D8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يتم عادة الاتفاق على القواعد المتبعة في </w:t>
      </w:r>
      <w:r w:rsidR="00555E5A">
        <w:rPr>
          <w:rFonts w:cs="Traditional Arabic" w:hint="cs"/>
          <w:sz w:val="20"/>
          <w:szCs w:val="30"/>
          <w:rtl/>
          <w:lang w:val="en-GB"/>
        </w:rPr>
        <w:t>غرفة الدراسة</w:t>
      </w:r>
      <w:r>
        <w:rPr>
          <w:rFonts w:cs="Traditional Arabic" w:hint="cs"/>
          <w:sz w:val="20"/>
          <w:szCs w:val="30"/>
          <w:rtl/>
          <w:lang w:val="en-GB"/>
        </w:rPr>
        <w:t xml:space="preserve"> عند بداية الدورة التدريبية. ولكن ينبغي </w:t>
      </w:r>
      <w:r w:rsidR="009F4D84">
        <w:rPr>
          <w:rFonts w:cs="Traditional Arabic" w:hint="cs"/>
          <w:sz w:val="20"/>
          <w:szCs w:val="30"/>
          <w:rtl/>
          <w:lang w:val="en-GB"/>
        </w:rPr>
        <w:t xml:space="preserve">إيلاء النظر للسمة الخاصة لهذه </w:t>
      </w:r>
      <w:r>
        <w:rPr>
          <w:rFonts w:cs="Traditional Arabic" w:hint="cs"/>
          <w:sz w:val="20"/>
          <w:szCs w:val="30"/>
          <w:rtl/>
          <w:lang w:val="en-GB"/>
        </w:rPr>
        <w:t>الدورة</w:t>
      </w:r>
      <w:r w:rsidR="009F4D84">
        <w:rPr>
          <w:rFonts w:cs="Traditional Arabic" w:hint="cs"/>
          <w:sz w:val="20"/>
          <w:szCs w:val="30"/>
          <w:rtl/>
          <w:lang w:val="en-GB"/>
        </w:rPr>
        <w:t xml:space="preserve"> الدراسية</w:t>
      </w:r>
      <w:r>
        <w:rPr>
          <w:rFonts w:cs="Traditional Arabic" w:hint="cs"/>
          <w:sz w:val="20"/>
          <w:szCs w:val="30"/>
          <w:rtl/>
          <w:lang w:val="en-GB"/>
        </w:rPr>
        <w:t>.</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ينبغي أن تكون المعادلة هي: 100</w:t>
      </w:r>
      <w:r w:rsidRPr="0022023F">
        <w:rPr>
          <w:rFonts w:cs="Akhbar MT" w:hint="cs"/>
          <w:szCs w:val="34"/>
          <w:rtl/>
          <w:lang w:val="en-GB"/>
        </w:rPr>
        <w:t>%</w:t>
      </w:r>
      <w:r>
        <w:rPr>
          <w:rFonts w:cs="Traditional Arabic" w:hint="cs"/>
          <w:sz w:val="20"/>
          <w:szCs w:val="30"/>
          <w:rtl/>
          <w:lang w:val="en-GB"/>
        </w:rPr>
        <w:t xml:space="preserve"> من حرية المشاركة تساوي 100</w:t>
      </w:r>
      <w:r w:rsidRPr="0022023F">
        <w:rPr>
          <w:rFonts w:cs="Akhbar MT" w:hint="cs"/>
          <w:szCs w:val="34"/>
          <w:rtl/>
          <w:lang w:val="en-GB"/>
        </w:rPr>
        <w:t>%</w:t>
      </w:r>
      <w:r>
        <w:rPr>
          <w:rFonts w:cs="Traditional Arabic" w:hint="cs"/>
          <w:sz w:val="20"/>
          <w:szCs w:val="30"/>
          <w:rtl/>
          <w:lang w:val="en-GB"/>
        </w:rPr>
        <w:t xml:space="preserve"> من احترام الاختلافات.</w:t>
      </w:r>
    </w:p>
    <w:p w:rsidR="009F4D84" w:rsidRDefault="009F4D84" w:rsidP="0022023F">
      <w:pPr>
        <w:keepNext/>
        <w:bidi/>
        <w:spacing w:line="400" w:lineRule="exact"/>
        <w:jc w:val="lowKashida"/>
        <w:rPr>
          <w:rFonts w:cs="Traditional Arabic"/>
          <w:b/>
          <w:bCs/>
          <w:color w:val="1F497D"/>
          <w:sz w:val="20"/>
          <w:szCs w:val="30"/>
          <w:u w:val="single"/>
          <w:rtl/>
          <w:lang w:val="en-GB"/>
        </w:rPr>
      </w:pPr>
    </w:p>
    <w:p w:rsidR="0022023F" w:rsidRPr="0022023F" w:rsidRDefault="0022023F" w:rsidP="009F4D8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تعرض الأهداف وسير الوحدة التدريبية</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sidR="004779D6">
        <w:rPr>
          <w:rFonts w:cs="Traditional Arabic" w:hint="cs"/>
          <w:sz w:val="20"/>
          <w:szCs w:val="30"/>
          <w:rtl/>
          <w:lang w:val="en-GB"/>
        </w:rPr>
        <w:t xml:space="preserve"> توضِّ</w:t>
      </w:r>
      <w:r>
        <w:rPr>
          <w:rFonts w:cs="Traditional Arabic" w:hint="cs"/>
          <w:sz w:val="20"/>
          <w:szCs w:val="30"/>
          <w:rtl/>
          <w:lang w:val="en-GB"/>
        </w:rPr>
        <w:t>ح للمشاركين ما هي الاتفاقية. وهذه الشريحة يتعيَّن تكييفيها حسب مستوى معارف المشاركين.</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الشريحة 4- تناقش غرض الاتفاقية. وتُبرز أن الأشخاص ذوي الإعاقة يملكون حقوقاً وأن هذه الحقوق هي حقوق الإنسان</w:t>
      </w:r>
    </w:p>
    <w:p w:rsidR="0022023F" w:rsidRDefault="0022023F" w:rsidP="009F4D8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ت</w:t>
      </w:r>
      <w:r w:rsidR="009F4D84">
        <w:rPr>
          <w:rFonts w:cs="Traditional Arabic" w:hint="cs"/>
          <w:sz w:val="20"/>
          <w:szCs w:val="30"/>
          <w:rtl/>
          <w:lang w:val="en-GB"/>
        </w:rPr>
        <w:t>ذ</w:t>
      </w:r>
      <w:r>
        <w:rPr>
          <w:rFonts w:cs="Traditional Arabic" w:hint="cs"/>
          <w:sz w:val="20"/>
          <w:szCs w:val="30"/>
          <w:rtl/>
          <w:lang w:val="en-GB"/>
        </w:rPr>
        <w:t xml:space="preserve">كر أن الاتفاقية تحمي الأشخاص ذوي الإعاقة ولكن هؤلاء الأفراد لا يمثلون </w:t>
      </w:r>
      <w:r w:rsidR="009F4D84">
        <w:rPr>
          <w:rFonts w:cs="Traditional Arabic" w:hint="cs"/>
          <w:sz w:val="20"/>
          <w:szCs w:val="30"/>
          <w:rtl/>
          <w:lang w:val="en-GB"/>
        </w:rPr>
        <w:t>كتلة واحدة</w:t>
      </w:r>
      <w:r>
        <w:rPr>
          <w:rFonts w:cs="Traditional Arabic" w:hint="cs"/>
          <w:sz w:val="20"/>
          <w:szCs w:val="30"/>
          <w:rtl/>
          <w:lang w:val="en-GB"/>
        </w:rPr>
        <w:t>، ويش</w:t>
      </w:r>
      <w:r w:rsidR="004779D6">
        <w:rPr>
          <w:rFonts w:cs="Traditional Arabic" w:hint="cs"/>
          <w:sz w:val="20"/>
          <w:szCs w:val="30"/>
          <w:rtl/>
          <w:lang w:val="en-GB"/>
        </w:rPr>
        <w:t xml:space="preserve">ملون النساء والأشخاص ذوي </w:t>
      </w:r>
      <w:r w:rsidR="004779D6" w:rsidRPr="004779D6">
        <w:rPr>
          <w:rFonts w:cs="Traditional Arabic" w:hint="cs"/>
          <w:color w:val="FF0000"/>
          <w:sz w:val="20"/>
          <w:szCs w:val="30"/>
          <w:rtl/>
          <w:lang w:val="en-GB"/>
        </w:rPr>
        <w:t>ال</w:t>
      </w:r>
      <w:r w:rsidR="004779D6" w:rsidRPr="004779D6">
        <w:rPr>
          <w:rFonts w:cs="Traditional Arabic" w:hint="cs"/>
          <w:color w:val="FF0000"/>
          <w:sz w:val="20"/>
          <w:szCs w:val="30"/>
          <w:rtl/>
          <w:lang w:val="en-GB" w:bidi="ar-LB"/>
        </w:rPr>
        <w:t>إعاقات</w:t>
      </w:r>
      <w:r>
        <w:rPr>
          <w:rFonts w:cs="Traditional Arabic" w:hint="cs"/>
          <w:sz w:val="20"/>
          <w:szCs w:val="30"/>
          <w:rtl/>
          <w:lang w:val="en-GB"/>
        </w:rPr>
        <w:t xml:space="preserve"> المختلفة و</w:t>
      </w:r>
      <w:r w:rsidR="009F4D84">
        <w:rPr>
          <w:rFonts w:cs="Traditional Arabic" w:hint="cs"/>
          <w:sz w:val="20"/>
          <w:szCs w:val="30"/>
          <w:rtl/>
          <w:lang w:val="en-GB"/>
        </w:rPr>
        <w:t>غيرهم</w:t>
      </w:r>
      <w:r>
        <w:rPr>
          <w:rFonts w:cs="Traditional Arabic" w:hint="cs"/>
          <w:sz w:val="20"/>
          <w:szCs w:val="30"/>
          <w:rtl/>
          <w:lang w:val="en-GB"/>
        </w:rPr>
        <w:t>.</w:t>
      </w:r>
    </w:p>
    <w:p w:rsidR="0022023F" w:rsidRDefault="0022023F" w:rsidP="0022023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6 </w:t>
      </w:r>
      <w:r>
        <w:rPr>
          <w:rFonts w:cs="Traditional Arabic"/>
          <w:sz w:val="20"/>
          <w:szCs w:val="30"/>
          <w:rtl/>
          <w:lang w:val="en-GB"/>
        </w:rPr>
        <w:t>–</w:t>
      </w:r>
      <w:r>
        <w:rPr>
          <w:rFonts w:cs="Traditional Arabic" w:hint="cs"/>
          <w:sz w:val="20"/>
          <w:szCs w:val="30"/>
          <w:rtl/>
          <w:lang w:val="en-GB"/>
        </w:rPr>
        <w:t xml:space="preserve"> تعرض مبادئ الاتفاقية</w:t>
      </w:r>
    </w:p>
    <w:p w:rsidR="0022023F" w:rsidRDefault="0022023F" w:rsidP="009F4D8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7 </w:t>
      </w:r>
      <w:r>
        <w:rPr>
          <w:rFonts w:cs="Traditional Arabic"/>
          <w:sz w:val="20"/>
          <w:szCs w:val="30"/>
          <w:rtl/>
          <w:lang w:val="en-GB"/>
        </w:rPr>
        <w:t>–</w:t>
      </w:r>
      <w:r>
        <w:rPr>
          <w:rFonts w:cs="Traditional Arabic" w:hint="cs"/>
          <w:sz w:val="20"/>
          <w:szCs w:val="30"/>
          <w:rtl/>
          <w:lang w:val="en-GB"/>
        </w:rPr>
        <w:t xml:space="preserve"> ’كشف أسرار الاتفاقية‘. هذه الشريحة تُطلق مناقشة بشأن الحقوق والمبادئ الواردة في الاتفاقية. ويطلب الميسِّر من أحد المشاركين اختيار مادة من مواد الاتفاقية ويقرأها ثم يستطيع المشاركون بعد ذلك عرض آرائهم عما يعنيه </w:t>
      </w:r>
      <w:r w:rsidR="009F4D84">
        <w:rPr>
          <w:rFonts w:cs="Traditional Arabic" w:hint="cs"/>
          <w:sz w:val="20"/>
          <w:szCs w:val="30"/>
          <w:rtl/>
          <w:lang w:val="en-GB"/>
        </w:rPr>
        <w:t>هذا الحق أو المبدأ</w:t>
      </w:r>
      <w:r>
        <w:rPr>
          <w:rFonts w:cs="Traditional Arabic" w:hint="cs"/>
          <w:sz w:val="20"/>
          <w:szCs w:val="30"/>
          <w:rtl/>
          <w:lang w:val="en-GB"/>
        </w:rPr>
        <w:t xml:space="preserve"> لهم </w:t>
      </w:r>
      <w:r w:rsidR="009F4D84">
        <w:rPr>
          <w:rFonts w:cs="Traditional Arabic" w:hint="cs"/>
          <w:sz w:val="20"/>
          <w:szCs w:val="30"/>
          <w:rtl/>
          <w:lang w:val="en-GB"/>
        </w:rPr>
        <w:t>وما</w:t>
      </w:r>
      <w:r>
        <w:rPr>
          <w:rFonts w:cs="Traditional Arabic" w:hint="cs"/>
          <w:sz w:val="20"/>
          <w:szCs w:val="30"/>
          <w:rtl/>
          <w:lang w:val="en-GB"/>
        </w:rPr>
        <w:t xml:space="preserve"> ينبغي القيام به </w:t>
      </w:r>
      <w:r w:rsidR="009F4D84">
        <w:rPr>
          <w:rFonts w:cs="Traditional Arabic" w:hint="cs"/>
          <w:sz w:val="20"/>
          <w:szCs w:val="30"/>
          <w:rtl/>
          <w:lang w:val="en-GB"/>
        </w:rPr>
        <w:t>لتنفيذ</w:t>
      </w:r>
      <w:r>
        <w:rPr>
          <w:rFonts w:cs="Traditional Arabic" w:hint="cs"/>
          <w:sz w:val="20"/>
          <w:szCs w:val="30"/>
          <w:rtl/>
          <w:lang w:val="en-GB"/>
        </w:rPr>
        <w:t xml:space="preserve"> وإعمال هذا الحق. </w:t>
      </w:r>
      <w:r w:rsidR="009F4D84">
        <w:rPr>
          <w:rFonts w:cs="Traditional Arabic" w:hint="cs"/>
          <w:sz w:val="20"/>
          <w:szCs w:val="30"/>
          <w:rtl/>
          <w:lang w:val="en-GB"/>
        </w:rPr>
        <w:t>و</w:t>
      </w:r>
      <w:r>
        <w:rPr>
          <w:rFonts w:cs="Traditional Arabic" w:hint="cs"/>
          <w:sz w:val="20"/>
          <w:szCs w:val="30"/>
          <w:rtl/>
          <w:lang w:val="en-GB"/>
        </w:rPr>
        <w:t>لن يكون معظم المشاركين قد قرأ الاتفاقية من قبل ولهذا فإن هذه العملية ستكشف الكثير.</w:t>
      </w:r>
    </w:p>
    <w:p w:rsidR="0022023F" w:rsidRDefault="0022023F" w:rsidP="00D7539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8 </w:t>
      </w:r>
      <w:r>
        <w:rPr>
          <w:rFonts w:cs="Traditional Arabic"/>
          <w:sz w:val="20"/>
          <w:szCs w:val="30"/>
          <w:rtl/>
          <w:lang w:val="en-GB"/>
        </w:rPr>
        <w:t>–</w:t>
      </w:r>
      <w:r>
        <w:rPr>
          <w:rFonts w:cs="Traditional Arabic" w:hint="cs"/>
          <w:sz w:val="20"/>
          <w:szCs w:val="30"/>
          <w:rtl/>
          <w:lang w:val="en-GB"/>
        </w:rPr>
        <w:t xml:space="preserve"> تؤكد على أن الدول تضطلع بالالتزام الأوَّلي </w:t>
      </w:r>
      <w:r w:rsidR="00A40E58">
        <w:rPr>
          <w:rFonts w:cs="Traditional Arabic" w:hint="cs"/>
          <w:sz w:val="20"/>
          <w:szCs w:val="30"/>
          <w:rtl/>
          <w:lang w:val="en-GB"/>
        </w:rPr>
        <w:t xml:space="preserve">عن احترام حقوق الأشخاص ذوي الإعاقة. وهذا العنصر الأساسي من قانون حقوق الإنسان ليس مفهوماً </w:t>
      </w:r>
      <w:r w:rsidR="009F4D84">
        <w:rPr>
          <w:rFonts w:cs="Traditional Arabic" w:hint="cs"/>
          <w:sz w:val="20"/>
          <w:szCs w:val="30"/>
          <w:rtl/>
          <w:lang w:val="en-GB"/>
        </w:rPr>
        <w:t>للجميع</w:t>
      </w:r>
      <w:r w:rsidR="00A40E58">
        <w:rPr>
          <w:rFonts w:cs="Traditional Arabic" w:hint="cs"/>
          <w:sz w:val="20"/>
          <w:szCs w:val="30"/>
          <w:rtl/>
          <w:lang w:val="en-GB"/>
        </w:rPr>
        <w:t>، بما في ذلك الدول. ومع ذلك، ينبغي لنا جميعاً أن نحترم حقوق الأشخاص ذوي الإعاقة و</w:t>
      </w:r>
      <w:r w:rsidR="009F4D84">
        <w:rPr>
          <w:rFonts w:cs="Traditional Arabic" w:hint="cs"/>
          <w:sz w:val="20"/>
          <w:szCs w:val="30"/>
          <w:rtl/>
          <w:lang w:val="en-GB"/>
        </w:rPr>
        <w:t>يقع على</w:t>
      </w:r>
      <w:r w:rsidR="00A40E58">
        <w:rPr>
          <w:rFonts w:cs="Traditional Arabic" w:hint="cs"/>
          <w:sz w:val="20"/>
          <w:szCs w:val="30"/>
          <w:rtl/>
          <w:lang w:val="en-GB"/>
        </w:rPr>
        <w:t xml:space="preserve"> البعض أداء دور هام</w:t>
      </w:r>
      <w:r w:rsidR="00D75398">
        <w:rPr>
          <w:rFonts w:cs="Traditional Arabic" w:hint="cs"/>
          <w:sz w:val="20"/>
          <w:szCs w:val="30"/>
          <w:rtl/>
          <w:lang w:val="en-GB"/>
        </w:rPr>
        <w:t>، مثل القطاع الخاص</w:t>
      </w:r>
      <w:r w:rsidR="00A40E58">
        <w:rPr>
          <w:rFonts w:cs="Traditional Arabic" w:hint="cs"/>
          <w:sz w:val="20"/>
          <w:szCs w:val="30"/>
          <w:rtl/>
          <w:lang w:val="en-GB"/>
        </w:rPr>
        <w:t xml:space="preserve">. </w:t>
      </w:r>
    </w:p>
    <w:p w:rsidR="00A40E58" w:rsidRDefault="00A40E58" w:rsidP="00D7539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9 </w:t>
      </w:r>
      <w:r>
        <w:rPr>
          <w:rFonts w:cs="Traditional Arabic"/>
          <w:sz w:val="20"/>
          <w:szCs w:val="30"/>
          <w:rtl/>
          <w:lang w:val="en-GB"/>
        </w:rPr>
        <w:t>–</w:t>
      </w:r>
      <w:r>
        <w:rPr>
          <w:rFonts w:cs="Traditional Arabic" w:hint="cs"/>
          <w:sz w:val="20"/>
          <w:szCs w:val="30"/>
          <w:rtl/>
          <w:lang w:val="en-GB"/>
        </w:rPr>
        <w:t xml:space="preserve"> تعرض موجز </w:t>
      </w:r>
      <w:r w:rsidR="00D75398">
        <w:rPr>
          <w:rFonts w:cs="Traditional Arabic" w:hint="cs"/>
          <w:sz w:val="20"/>
          <w:szCs w:val="30"/>
          <w:rtl/>
          <w:lang w:val="en-GB"/>
        </w:rPr>
        <w:t>ا</w:t>
      </w:r>
      <w:r>
        <w:rPr>
          <w:rFonts w:cs="Traditional Arabic" w:hint="cs"/>
          <w:sz w:val="20"/>
          <w:szCs w:val="30"/>
          <w:rtl/>
          <w:lang w:val="en-GB"/>
        </w:rPr>
        <w:t xml:space="preserve">لخطوات الرئيسية للتنفيذ. وسوف تناقش هذه الخطوات بمزيد من التفصيل في الوحدة 4. ولكن </w:t>
      </w:r>
      <w:r w:rsidR="00D75398">
        <w:rPr>
          <w:rFonts w:cs="Traditional Arabic" w:hint="cs"/>
          <w:sz w:val="20"/>
          <w:szCs w:val="30"/>
          <w:rtl/>
          <w:lang w:val="en-GB"/>
        </w:rPr>
        <w:t xml:space="preserve">يتم عرض هذه الخطوات هنا </w:t>
      </w:r>
      <w:r>
        <w:rPr>
          <w:rFonts w:cs="Traditional Arabic" w:hint="cs"/>
          <w:sz w:val="20"/>
          <w:szCs w:val="30"/>
          <w:rtl/>
          <w:lang w:val="en-GB"/>
        </w:rPr>
        <w:t>بطريقة عامة فقط.</w:t>
      </w:r>
    </w:p>
    <w:p w:rsidR="00A40E58" w:rsidRDefault="00A40E58" w:rsidP="00A40E5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تتضمن قائمة بالمؤسسات الوطنية المطلوبة.</w:t>
      </w:r>
    </w:p>
    <w:p w:rsidR="00A40E58" w:rsidRDefault="00A40E58" w:rsidP="00D7539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11 </w:t>
      </w:r>
      <w:r>
        <w:rPr>
          <w:rFonts w:cs="Traditional Arabic"/>
          <w:sz w:val="20"/>
          <w:szCs w:val="30"/>
          <w:rtl/>
          <w:lang w:val="en-GB"/>
        </w:rPr>
        <w:t>–</w:t>
      </w:r>
      <w:r>
        <w:rPr>
          <w:rFonts w:cs="Traditional Arabic" w:hint="cs"/>
          <w:sz w:val="20"/>
          <w:szCs w:val="30"/>
          <w:rtl/>
          <w:lang w:val="en-GB"/>
        </w:rPr>
        <w:t xml:space="preserve"> توضح بالرسوم كيف</w:t>
      </w:r>
      <w:r w:rsidR="00D75398">
        <w:rPr>
          <w:rFonts w:cs="Traditional Arabic" w:hint="cs"/>
          <w:sz w:val="20"/>
          <w:szCs w:val="30"/>
          <w:rtl/>
          <w:lang w:val="en-GB"/>
        </w:rPr>
        <w:t>ية</w:t>
      </w:r>
      <w:r>
        <w:rPr>
          <w:rFonts w:cs="Traditional Arabic" w:hint="cs"/>
          <w:sz w:val="20"/>
          <w:szCs w:val="30"/>
          <w:rtl/>
          <w:lang w:val="en-GB"/>
        </w:rPr>
        <w:t xml:space="preserve"> عمل اللجنة.</w:t>
      </w:r>
    </w:p>
    <w:p w:rsidR="00A40E58" w:rsidRDefault="00A40E58" w:rsidP="00D7539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12 </w:t>
      </w:r>
      <w:r w:rsidR="00D37FFD">
        <w:rPr>
          <w:rFonts w:cs="Traditional Arabic"/>
          <w:sz w:val="20"/>
          <w:szCs w:val="30"/>
          <w:rtl/>
          <w:lang w:val="en-GB"/>
        </w:rPr>
        <w:t>–</w:t>
      </w:r>
      <w:r>
        <w:rPr>
          <w:rFonts w:cs="Traditional Arabic" w:hint="cs"/>
          <w:sz w:val="20"/>
          <w:szCs w:val="30"/>
          <w:rtl/>
          <w:lang w:val="en-GB"/>
        </w:rPr>
        <w:t xml:space="preserve"> </w:t>
      </w:r>
      <w:r w:rsidR="00D37FFD">
        <w:rPr>
          <w:rFonts w:cs="Traditional Arabic" w:hint="cs"/>
          <w:sz w:val="20"/>
          <w:szCs w:val="30"/>
          <w:rtl/>
          <w:lang w:val="en-GB"/>
        </w:rPr>
        <w:t xml:space="preserve">هناك سؤال </w:t>
      </w:r>
      <w:r w:rsidR="00D75398">
        <w:rPr>
          <w:rFonts w:cs="Traditional Arabic" w:hint="cs"/>
          <w:sz w:val="20"/>
          <w:szCs w:val="30"/>
          <w:rtl/>
          <w:lang w:val="en-GB"/>
        </w:rPr>
        <w:t>عام</w:t>
      </w:r>
      <w:r w:rsidR="00D37FFD">
        <w:rPr>
          <w:rFonts w:cs="Traditional Arabic" w:hint="cs"/>
          <w:sz w:val="20"/>
          <w:szCs w:val="30"/>
          <w:rtl/>
          <w:lang w:val="en-GB"/>
        </w:rPr>
        <w:t xml:space="preserve"> يتصل باتفاقية حقوق الأشخاص ذوي الإعاقة والاتفاقيات الأخرى وهو ’كيف يتم إنفاذها؟‘ وتركز إحدى الشرائح بالتحديد على هذا السؤال. وينبغي أن يكون الميسِّر مستعداً لهذا السؤال، ويوضح دور المحاكم وأُطر المراقبة شبه القضائية وكذلك دور </w:t>
      </w:r>
      <w:r w:rsidR="00D75398">
        <w:rPr>
          <w:rFonts w:cs="Traditional Arabic" w:hint="cs"/>
          <w:sz w:val="20"/>
          <w:szCs w:val="30"/>
          <w:rtl/>
          <w:lang w:val="en-GB"/>
        </w:rPr>
        <w:t>ال</w:t>
      </w:r>
      <w:r w:rsidR="00D37FFD">
        <w:rPr>
          <w:rFonts w:cs="Traditional Arabic" w:hint="cs"/>
          <w:sz w:val="20"/>
          <w:szCs w:val="30"/>
          <w:rtl/>
          <w:lang w:val="en-GB"/>
        </w:rPr>
        <w:t xml:space="preserve">لجنة </w:t>
      </w:r>
      <w:r w:rsidR="00D75398">
        <w:rPr>
          <w:rFonts w:cs="Traditional Arabic" w:hint="cs"/>
          <w:sz w:val="20"/>
          <w:szCs w:val="30"/>
          <w:rtl/>
          <w:lang w:val="en-GB"/>
        </w:rPr>
        <w:t>المعنية ب</w:t>
      </w:r>
      <w:r w:rsidR="00D37FFD">
        <w:rPr>
          <w:rFonts w:cs="Traditional Arabic" w:hint="cs"/>
          <w:sz w:val="20"/>
          <w:szCs w:val="30"/>
          <w:rtl/>
          <w:lang w:val="en-GB"/>
        </w:rPr>
        <w:t xml:space="preserve">حقوق الأشخاص ذوي الإعاقة. والإجابة الأوَّلية </w:t>
      </w:r>
      <w:r w:rsidR="00D37FFD">
        <w:rPr>
          <w:rFonts w:cs="Traditional Arabic"/>
          <w:sz w:val="20"/>
          <w:szCs w:val="30"/>
          <w:rtl/>
          <w:lang w:val="en-GB"/>
        </w:rPr>
        <w:t>–</w:t>
      </w:r>
      <w:r w:rsidR="00D37FFD">
        <w:rPr>
          <w:rFonts w:cs="Traditional Arabic" w:hint="cs"/>
          <w:sz w:val="20"/>
          <w:szCs w:val="30"/>
          <w:rtl/>
          <w:lang w:val="en-GB"/>
        </w:rPr>
        <w:t xml:space="preserve"> وهي أنه لا توجد محكمة عالمية لحقوق الإنسان من أجل إنفاذ معاهدات حقوق </w:t>
      </w:r>
      <w:r w:rsidR="00A23FC4">
        <w:rPr>
          <w:rFonts w:cs="Traditional Arabic" w:hint="cs"/>
          <w:sz w:val="20"/>
          <w:szCs w:val="30"/>
          <w:rtl/>
          <w:lang w:val="en-GB"/>
        </w:rPr>
        <w:t xml:space="preserve">الإنسان </w:t>
      </w:r>
      <w:r w:rsidR="00A23FC4">
        <w:rPr>
          <w:rFonts w:cs="Traditional Arabic"/>
          <w:sz w:val="20"/>
          <w:szCs w:val="30"/>
          <w:rtl/>
          <w:lang w:val="en-GB"/>
        </w:rPr>
        <w:t>–</w:t>
      </w:r>
      <w:r w:rsidR="00A23FC4">
        <w:rPr>
          <w:rFonts w:cs="Traditional Arabic" w:hint="cs"/>
          <w:sz w:val="20"/>
          <w:szCs w:val="30"/>
          <w:rtl/>
          <w:lang w:val="en-GB"/>
        </w:rPr>
        <w:t xml:space="preserve"> قد تسبِّب خيبة الأمل لدى بعض المشاركين. ويجب أن يهتم الميسِّر ببناء الإطار الوطني وإطار حقوق الإنسان </w:t>
      </w:r>
      <w:r w:rsidR="00A23FC4">
        <w:rPr>
          <w:rFonts w:cs="Traditional Arabic"/>
          <w:sz w:val="20"/>
          <w:szCs w:val="30"/>
          <w:rtl/>
          <w:lang w:val="en-GB"/>
        </w:rPr>
        <w:t>–</w:t>
      </w:r>
      <w:r w:rsidR="00A23FC4">
        <w:rPr>
          <w:rFonts w:cs="Traditional Arabic" w:hint="cs"/>
          <w:sz w:val="20"/>
          <w:szCs w:val="30"/>
          <w:rtl/>
          <w:lang w:val="en-GB"/>
        </w:rPr>
        <w:t xml:space="preserve"> مع التأكيد على أن التغيير قد يحدث بطرق كثيرة ويمك</w:t>
      </w:r>
      <w:bookmarkStart w:id="0" w:name="_GoBack"/>
      <w:bookmarkEnd w:id="0"/>
      <w:r w:rsidR="00A23FC4">
        <w:rPr>
          <w:rFonts w:cs="Traditional Arabic" w:hint="cs"/>
          <w:sz w:val="20"/>
          <w:szCs w:val="30"/>
          <w:rtl/>
          <w:lang w:val="en-GB"/>
        </w:rPr>
        <w:t>ن في بعض الأحيان أن يكون بطيئاً ولكن توجد قصص نجاح. وقد يود الميسِّر أن يستبق السؤال بأن يعيِّن بعض الأمثل</w:t>
      </w:r>
      <w:r w:rsidR="00F716BC">
        <w:rPr>
          <w:rFonts w:cs="Traditional Arabic" w:hint="cs"/>
          <w:sz w:val="20"/>
          <w:szCs w:val="30"/>
          <w:rtl/>
          <w:lang w:val="en-GB"/>
        </w:rPr>
        <w:t>ة</w:t>
      </w:r>
      <w:r w:rsidR="00A23FC4">
        <w:rPr>
          <w:rFonts w:cs="Traditional Arabic" w:hint="cs"/>
          <w:sz w:val="20"/>
          <w:szCs w:val="30"/>
          <w:rtl/>
          <w:lang w:val="en-GB"/>
        </w:rPr>
        <w:t xml:space="preserve"> الجيدة لإنفاذ حقوق الإنسان على الصعيد الوطني (مثل حالة </w:t>
      </w:r>
      <w:r w:rsidR="00A23FC4">
        <w:rPr>
          <w:rFonts w:cs="Traditional Arabic" w:hint="cs"/>
          <w:sz w:val="20"/>
          <w:szCs w:val="30"/>
          <w:rtl/>
          <w:lang w:val="en-GB"/>
        </w:rPr>
        <w:lastRenderedPageBreak/>
        <w:t>محكمة لا تتصل بالضرورة بحقوق الإعاقة) أو الرصد الدولي الذي يؤدي إلى تحسين التمتع بحقوق الإنسان (مثل بلاغ إلى هيئة تعاهدية أو إلى إجراء خاص).</w:t>
      </w:r>
    </w:p>
    <w:p w:rsidR="00A23FC4" w:rsidRDefault="00A23FC4" w:rsidP="00A23FC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13 </w:t>
      </w:r>
      <w:r>
        <w:rPr>
          <w:rFonts w:cs="Traditional Arabic"/>
          <w:sz w:val="20"/>
          <w:szCs w:val="30"/>
          <w:rtl/>
          <w:lang w:val="en-GB"/>
        </w:rPr>
        <w:t>–</w:t>
      </w:r>
      <w:r>
        <w:rPr>
          <w:rFonts w:cs="Traditional Arabic" w:hint="cs"/>
          <w:sz w:val="20"/>
          <w:szCs w:val="30"/>
          <w:rtl/>
          <w:lang w:val="en-GB"/>
        </w:rPr>
        <w:t xml:space="preserve"> تعرض بعض الأسباب التي تجعل الاتفاقية هامة. ويستطيع الميسِّر أن يحفز المناقشة حول أسباب أخرى.</w:t>
      </w:r>
    </w:p>
    <w:p w:rsidR="00A23FC4" w:rsidRDefault="00A23FC4" w:rsidP="00D7539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14 </w:t>
      </w:r>
      <w:r>
        <w:rPr>
          <w:rFonts w:cs="Traditional Arabic"/>
          <w:sz w:val="20"/>
          <w:szCs w:val="30"/>
          <w:rtl/>
          <w:lang w:val="en-GB"/>
        </w:rPr>
        <w:t>–</w:t>
      </w:r>
      <w:r>
        <w:rPr>
          <w:rFonts w:cs="Traditional Arabic" w:hint="cs"/>
          <w:sz w:val="20"/>
          <w:szCs w:val="30"/>
          <w:rtl/>
          <w:lang w:val="en-GB"/>
        </w:rPr>
        <w:t xml:space="preserve"> ت</w:t>
      </w:r>
      <w:r w:rsidR="00D75398">
        <w:rPr>
          <w:rFonts w:cs="Traditional Arabic" w:hint="cs"/>
          <w:sz w:val="20"/>
          <w:szCs w:val="30"/>
          <w:rtl/>
          <w:lang w:val="en-GB"/>
        </w:rPr>
        <w:t>ث</w:t>
      </w:r>
      <w:r>
        <w:rPr>
          <w:rFonts w:cs="Traditional Arabic" w:hint="cs"/>
          <w:sz w:val="20"/>
          <w:szCs w:val="30"/>
          <w:rtl/>
          <w:lang w:val="en-GB"/>
        </w:rPr>
        <w:t xml:space="preserve">ير جانباً هاماً جداً من جوانب الاتفاقية: ينبغي أن يشارك الأشخاص ذوي الإعاقة في القرارات التي تؤثر عليهم </w:t>
      </w:r>
      <w:r>
        <w:rPr>
          <w:rFonts w:cs="Traditional Arabic"/>
          <w:sz w:val="20"/>
          <w:szCs w:val="30"/>
          <w:rtl/>
          <w:lang w:val="en-GB"/>
        </w:rPr>
        <w:t>–</w:t>
      </w:r>
      <w:r>
        <w:rPr>
          <w:rFonts w:cs="Traditional Arabic" w:hint="cs"/>
          <w:sz w:val="20"/>
          <w:szCs w:val="30"/>
          <w:rtl/>
          <w:lang w:val="en-GB"/>
        </w:rPr>
        <w:t xml:space="preserve"> وخاصة فيما يتعلق بالقوانين والسياسات وكذلك تنفيذ ورصد الاتفاقية.</w:t>
      </w:r>
    </w:p>
    <w:p w:rsidR="00A23FC4" w:rsidRDefault="00A23FC4" w:rsidP="00A23FC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15 </w:t>
      </w:r>
      <w:r>
        <w:rPr>
          <w:rFonts w:cs="Traditional Arabic"/>
          <w:sz w:val="20"/>
          <w:szCs w:val="30"/>
          <w:rtl/>
          <w:lang w:val="en-GB"/>
        </w:rPr>
        <w:t>–</w:t>
      </w:r>
      <w:r>
        <w:rPr>
          <w:rFonts w:cs="Traditional Arabic" w:hint="cs"/>
          <w:sz w:val="20"/>
          <w:szCs w:val="30"/>
          <w:rtl/>
          <w:lang w:val="en-GB"/>
        </w:rPr>
        <w:t xml:space="preserve"> هذه الشريحة ينبغي أن تثير المناقشة، حسب جمهور الحاضرين. وتقدِّم المذكرات بعض الاقتراحات بالأعمال والأنشطة لدعم الاتفاقية ولكن يمكن أن يوجد كثير غيرها.</w:t>
      </w:r>
    </w:p>
    <w:p w:rsidR="00A23FC4" w:rsidRDefault="00A23FC4" w:rsidP="00A23FC4">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16 </w:t>
      </w:r>
      <w:r>
        <w:rPr>
          <w:rFonts w:cs="Traditional Arabic"/>
          <w:sz w:val="20"/>
          <w:szCs w:val="30"/>
          <w:rtl/>
          <w:lang w:val="en-GB"/>
        </w:rPr>
        <w:t>–</w:t>
      </w:r>
      <w:r>
        <w:rPr>
          <w:rFonts w:cs="Traditional Arabic" w:hint="cs"/>
          <w:sz w:val="20"/>
          <w:szCs w:val="30"/>
          <w:rtl/>
          <w:lang w:val="en-GB"/>
        </w:rPr>
        <w:t xml:space="preserve"> تقدِّم مصادر المعلومات الإضافية.</w:t>
      </w:r>
    </w:p>
    <w:p w:rsidR="00A23FC4" w:rsidRDefault="00A23FC4" w:rsidP="00A23FC4">
      <w:pPr>
        <w:keepNext/>
        <w:bidi/>
        <w:spacing w:line="400" w:lineRule="exact"/>
        <w:jc w:val="lowKashida"/>
        <w:rPr>
          <w:rFonts w:cs="Traditional Arabic"/>
          <w:b/>
          <w:bCs/>
          <w:color w:val="1F497D"/>
          <w:sz w:val="20"/>
          <w:szCs w:val="30"/>
          <w:u w:val="single"/>
          <w:rtl/>
          <w:lang w:val="en-GB"/>
        </w:rPr>
      </w:pPr>
    </w:p>
    <w:p w:rsidR="00A23FC4" w:rsidRPr="00A23FC4" w:rsidRDefault="00A23FC4" w:rsidP="00A23FC4">
      <w:pPr>
        <w:keepNext/>
        <w:bidi/>
        <w:spacing w:line="400" w:lineRule="exact"/>
        <w:jc w:val="lowKashida"/>
        <w:rPr>
          <w:rFonts w:cs="Traditional Arabic"/>
          <w:b/>
          <w:bCs/>
          <w:color w:val="1F497D"/>
          <w:sz w:val="20"/>
          <w:szCs w:val="30"/>
          <w:u w:val="single"/>
          <w:lang w:val="en-GB"/>
        </w:rPr>
      </w:pPr>
      <w:r>
        <w:rPr>
          <w:rFonts w:cs="Traditional Arabic" w:hint="cs"/>
          <w:b/>
          <w:bCs/>
          <w:color w:val="1F497D"/>
          <w:sz w:val="20"/>
          <w:szCs w:val="30"/>
          <w:u w:val="single"/>
          <w:rtl/>
          <w:lang w:val="en-GB"/>
        </w:rPr>
        <w:t>إمكانية الوصول</w:t>
      </w:r>
    </w:p>
    <w:p w:rsidR="00A23FC4" w:rsidRDefault="00A23FC4" w:rsidP="00A23FC4">
      <w:pPr>
        <w:keepNext/>
        <w:bidi/>
        <w:spacing w:line="400" w:lineRule="exact"/>
        <w:ind w:right="22"/>
        <w:jc w:val="lowKashida"/>
        <w:rPr>
          <w:rFonts w:cs="Traditional Arabic"/>
          <w:sz w:val="20"/>
          <w:szCs w:val="30"/>
          <w:rtl/>
          <w:lang w:val="en-GB"/>
        </w:rPr>
      </w:pPr>
    </w:p>
    <w:p w:rsidR="00A23FC4" w:rsidRDefault="00A23FC4" w:rsidP="00A23FC4">
      <w:pPr>
        <w:keepNext/>
        <w:bidi/>
        <w:spacing w:line="400" w:lineRule="exact"/>
        <w:ind w:right="22"/>
        <w:jc w:val="lowKashida"/>
        <w:rPr>
          <w:rFonts w:cs="Traditional Arabic"/>
          <w:sz w:val="20"/>
          <w:szCs w:val="30"/>
          <w:rtl/>
          <w:lang w:val="en-GB"/>
        </w:rPr>
      </w:pPr>
      <w:r>
        <w:rPr>
          <w:rFonts w:cs="Traditional Arabic" w:hint="cs"/>
          <w:sz w:val="20"/>
          <w:szCs w:val="30"/>
          <w:rtl/>
          <w:lang w:val="en-GB"/>
        </w:rPr>
        <w:t xml:space="preserve">إذا شارك أشخاص من ذوي الإعاقة في التدريب فيتعيَّن </w:t>
      </w:r>
      <w:r w:rsidR="00EA5A1C">
        <w:rPr>
          <w:rFonts w:cs="Traditional Arabic" w:hint="cs"/>
          <w:sz w:val="20"/>
          <w:szCs w:val="30"/>
          <w:rtl/>
          <w:lang w:val="en-GB"/>
        </w:rPr>
        <w:t xml:space="preserve">عليك </w:t>
      </w:r>
      <w:r>
        <w:rPr>
          <w:rFonts w:cs="Traditional Arabic" w:hint="cs"/>
          <w:sz w:val="20"/>
          <w:szCs w:val="30"/>
          <w:rtl/>
          <w:lang w:val="en-GB"/>
        </w:rPr>
        <w:t>أن تكفل دراسة متطلبات إمكانية الوصول ومعالجتها. وتذكر أيضاً أن أفراد المشاركين من ذوي الإعاقة قد يتطلبون أماكن معقولة للمشاركة في التدريب. ومن المهم أن يعالج منظِّم التدريب هذه المتطلبات مقدماً وبصورة منفردة لتوضيح هذه المتطلبات. وفيما يلي بعض هذه التدابير التي قد يتعيَّن عليك اتخاذها، حسب حالة كل فرد على حدة:</w:t>
      </w:r>
    </w:p>
    <w:p w:rsidR="00A23FC4" w:rsidRDefault="00A23FC4" w:rsidP="00A23FC4">
      <w:pPr>
        <w:keepNext/>
        <w:bidi/>
        <w:spacing w:line="400" w:lineRule="exact"/>
        <w:ind w:right="22"/>
        <w:jc w:val="lowKashida"/>
        <w:rPr>
          <w:rFonts w:cs="Traditional Arabic"/>
          <w:sz w:val="20"/>
          <w:szCs w:val="30"/>
          <w:lang w:val="en-GB"/>
        </w:rPr>
      </w:pPr>
    </w:p>
    <w:p w:rsidR="003C6485" w:rsidRPr="00EA5A1C" w:rsidRDefault="003C6485" w:rsidP="003C6485">
      <w:pPr>
        <w:keepNext/>
        <w:numPr>
          <w:ilvl w:val="0"/>
          <w:numId w:val="7"/>
        </w:numPr>
        <w:bidi/>
        <w:spacing w:line="400" w:lineRule="exact"/>
        <w:ind w:right="22"/>
        <w:jc w:val="lowKashida"/>
        <w:rPr>
          <w:rFonts w:cs="Traditional Arabic"/>
          <w:sz w:val="20"/>
          <w:szCs w:val="30"/>
          <w:lang w:val="en-GB"/>
        </w:rPr>
      </w:pPr>
      <w:r w:rsidRPr="00EA5A1C">
        <w:rPr>
          <w:rFonts w:cs="Traditional Arabic" w:hint="cs"/>
          <w:sz w:val="20"/>
          <w:szCs w:val="30"/>
          <w:rtl/>
          <w:lang w:val="en-GB"/>
        </w:rPr>
        <w:t>كفالة إمكانية الوصول إلى التدريب.</w:t>
      </w:r>
      <w:r w:rsidR="00EA5A1C" w:rsidRPr="00EA5A1C">
        <w:rPr>
          <w:rFonts w:cs="Traditional Arabic" w:hint="cs"/>
          <w:sz w:val="20"/>
          <w:szCs w:val="30"/>
          <w:rtl/>
          <w:lang w:val="en-GB"/>
        </w:rPr>
        <w:t xml:space="preserve"> </w:t>
      </w:r>
      <w:r w:rsidRPr="00EA5A1C">
        <w:rPr>
          <w:rFonts w:cs="Traditional Arabic" w:hint="cs"/>
          <w:sz w:val="20"/>
          <w:szCs w:val="30"/>
          <w:rtl/>
          <w:lang w:val="en-GB"/>
        </w:rPr>
        <w:t xml:space="preserve">تجنَّب المواقع التي توجد بها سلالم أو ممرات ضيقة أو أبواب ثقيلة، مما قد يمثِّل عوائق </w:t>
      </w:r>
      <w:r w:rsidR="00D07E4F" w:rsidRPr="00EA5A1C">
        <w:rPr>
          <w:rFonts w:cs="Traditional Arabic" w:hint="cs"/>
          <w:sz w:val="20"/>
          <w:szCs w:val="30"/>
          <w:rtl/>
          <w:lang w:val="en-GB"/>
        </w:rPr>
        <w:t>مثلاً أمام الأشخاص الذين يستخدمون أجهزة للتحرك. وعليك التأكد من تنظيم مكان التدريب تنظيماً جيداً، وأن يكون فسيحاً وخالياً من العوائق، بحيث يستطيع الأشخاص الذين يستخدمون أجهزة للحركة وكذلك الأشخاص المصابين بإعاقة بصرية التحرك بدون مواجهة عقبات.</w:t>
      </w:r>
    </w:p>
    <w:p w:rsidR="00D07E4F" w:rsidRDefault="00D07E4F" w:rsidP="00D07E4F">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قد تتطلب إمكانية وصول الأشخاص المصابين بالصمم أو الأشخاص ذوي العاهة السمعية إلى التدريب اللجوء إلى وسائل مختلفة، مثل إظهار النصوص، وتفسير لغة الإشارة واستخدام المساعدات السمعية مثل حلقات الرقبة. ومن المهم التشاور مع الشخص المعني (الأشخاص المعنيين) لتحديد الأسلوب المفضَّل، لكل حالة منفصلة أو بالاشتراك مع الآخرين. وتذكر أن تفسير لغة الإشارة عملية مرهقة جداً للمفسِّر ولذلك يحتاج إلى فترات راحة متكررة والعمل في مجموعات من إثنين. </w:t>
      </w:r>
    </w:p>
    <w:p w:rsidR="00D07E4F" w:rsidRDefault="00D07E4F" w:rsidP="00EA5A1C">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تأكد من إمكانية الوصول إلى مواد تدريب المطبوعة الخاصة بك. ويمكن لك أيضاً أن توفِّر هذه المواد في شكل إلكتروني للمشاركين ذوي الإعاقة البصرية، وذلك بنشرها على شبكة الويب أو تحميلها على أقراص مدمجة (</w:t>
      </w:r>
      <w:proofErr w:type="spellStart"/>
      <w:r>
        <w:rPr>
          <w:rFonts w:cs="Traditional Arabic"/>
          <w:sz w:val="20"/>
          <w:szCs w:val="30"/>
        </w:rPr>
        <w:t>CD-Roms</w:t>
      </w:r>
      <w:proofErr w:type="spellEnd"/>
      <w:r>
        <w:rPr>
          <w:rFonts w:cs="Traditional Arabic" w:hint="cs"/>
          <w:sz w:val="20"/>
          <w:szCs w:val="30"/>
          <w:rtl/>
          <w:lang w:val="en-GB"/>
        </w:rPr>
        <w:t xml:space="preserve">)  أو وحدات تخزين متنقلة، بحيث يستطيع المشاركون في التدريب الوصول إليها من أجهزتهم الحاسوبية. وفي هذه الحالات، تذكَّر دائماً تقديم الملفات في نسق يمكن أن تتعرَّف عليه معظم أجهزة قراءة البرمجيات. وبديلاً عن ذلك أو بالإضافة إلى ذلك، يمكن أيضاً إتاحة الوثائق في نظام </w:t>
      </w:r>
      <w:r w:rsidR="00184D38">
        <w:rPr>
          <w:rFonts w:cs="Traditional Arabic" w:hint="cs"/>
          <w:sz w:val="20"/>
          <w:szCs w:val="30"/>
          <w:rtl/>
          <w:lang w:val="en-GB"/>
        </w:rPr>
        <w:t>برايل أو مطبوعة بحروف كبيرة. ويمكن أيضاً إتاحة المواد في أنساق يسهل قراءاتها وفهمها إذا تطلب المشاركون في التدريب ذلك.</w:t>
      </w:r>
    </w:p>
    <w:p w:rsidR="00184D38" w:rsidRDefault="00184D38" w:rsidP="00EA5A1C">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إذا استخدمت مساعدات بصرية</w:t>
      </w:r>
      <w:r w:rsidR="00EA5A1C">
        <w:rPr>
          <w:rFonts w:cs="Traditional Arabic" w:hint="cs"/>
          <w:sz w:val="20"/>
          <w:szCs w:val="30"/>
          <w:rtl/>
          <w:lang w:val="en-GB"/>
        </w:rPr>
        <w:t xml:space="preserve"> في التدريب الذي تقوم به</w:t>
      </w:r>
      <w:r>
        <w:rPr>
          <w:rFonts w:cs="Traditional Arabic" w:hint="cs"/>
          <w:sz w:val="20"/>
          <w:szCs w:val="30"/>
          <w:rtl/>
          <w:lang w:val="en-GB"/>
        </w:rPr>
        <w:t xml:space="preserve">، مثل عرض الشرائح الحاسوبية والصور أو الفيديوهات، فتأكد من وصف </w:t>
      </w:r>
      <w:r w:rsidR="00EA5A1C">
        <w:rPr>
          <w:rFonts w:cs="Traditional Arabic" w:hint="cs"/>
          <w:sz w:val="20"/>
          <w:szCs w:val="30"/>
          <w:rtl/>
          <w:lang w:val="en-GB"/>
        </w:rPr>
        <w:t>ا</w:t>
      </w:r>
      <w:r>
        <w:rPr>
          <w:rFonts w:cs="Traditional Arabic" w:hint="cs"/>
          <w:sz w:val="20"/>
          <w:szCs w:val="30"/>
          <w:rtl/>
          <w:lang w:val="en-GB"/>
        </w:rPr>
        <w:t xml:space="preserve">لمعلومات المنقولة عبر هذه الوسائل </w:t>
      </w:r>
      <w:r w:rsidR="00EA5A1C">
        <w:rPr>
          <w:rFonts w:cs="Traditional Arabic" w:hint="cs"/>
          <w:sz w:val="20"/>
          <w:szCs w:val="30"/>
          <w:rtl/>
          <w:lang w:val="en-GB"/>
        </w:rPr>
        <w:t xml:space="preserve">وصفاً كافياً </w:t>
      </w:r>
      <w:r>
        <w:rPr>
          <w:rFonts w:cs="Traditional Arabic" w:hint="cs"/>
          <w:sz w:val="20"/>
          <w:szCs w:val="30"/>
          <w:rtl/>
          <w:lang w:val="en-GB"/>
        </w:rPr>
        <w:t>في نسق يسهل الوصول إليه. وعلى سبيل المثال، ينبغي أن تكون هناك ترجمة على شرائط الفيديو؛ وأن تتضمن الصور وصفاً لها.</w:t>
      </w:r>
    </w:p>
    <w:p w:rsidR="00184D38" w:rsidRPr="0026201A" w:rsidRDefault="00184D38" w:rsidP="00184D38">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قد يتطلب بعض المشاركين ذوي الإعاقة مساعداً شخصياً. وفي هذه الحالة، سيكون عليك أن تتخذ الترتيبات اللازمة لكفالة حضور هذا المساعد أيضاً في التدريب. ويعني ذلك أنك إذا كنت توفِّر </w:t>
      </w:r>
      <w:r w:rsidR="00033B8E">
        <w:rPr>
          <w:rFonts w:cs="Traditional Arabic" w:hint="cs"/>
          <w:sz w:val="20"/>
          <w:szCs w:val="30"/>
          <w:rtl/>
          <w:lang w:val="en-GB"/>
        </w:rPr>
        <w:t xml:space="preserve">وسائل </w:t>
      </w:r>
      <w:r>
        <w:rPr>
          <w:rFonts w:cs="Traditional Arabic" w:hint="cs"/>
          <w:sz w:val="20"/>
          <w:szCs w:val="30"/>
          <w:rtl/>
          <w:lang w:val="en-GB"/>
        </w:rPr>
        <w:t xml:space="preserve">النقل و/أو </w:t>
      </w:r>
      <w:r w:rsidR="00033B8E">
        <w:rPr>
          <w:rFonts w:cs="Traditional Arabic" w:hint="cs"/>
          <w:sz w:val="20"/>
          <w:szCs w:val="30"/>
          <w:rtl/>
          <w:lang w:val="en-GB"/>
        </w:rPr>
        <w:t xml:space="preserve">أماكن </w:t>
      </w:r>
      <w:r>
        <w:rPr>
          <w:rFonts w:cs="Traditional Arabic" w:hint="cs"/>
          <w:sz w:val="20"/>
          <w:szCs w:val="30"/>
          <w:rtl/>
          <w:lang w:val="en-GB"/>
        </w:rPr>
        <w:t>الإقامة للمشاركين في التدريب فإنك ستحتاج أيضاً إلى وضع ترتيبات مشابهة للمساعدين الشخصيين.</w:t>
      </w:r>
    </w:p>
    <w:sectPr w:rsidR="00184D38" w:rsidRPr="0026201A"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679" w:rsidRDefault="00832679">
      <w:r>
        <w:separator/>
      </w:r>
    </w:p>
  </w:endnote>
  <w:endnote w:type="continuationSeparator" w:id="0">
    <w:p w:rsidR="00832679" w:rsidRDefault="0083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F716BC">
      <w:rPr>
        <w:rStyle w:val="PageNumber"/>
        <w:rFonts w:ascii="Arial" w:hAnsi="Arial" w:cs="Arial"/>
        <w:noProof/>
      </w:rPr>
      <w:t>3</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679" w:rsidRDefault="00832679">
      <w:r>
        <w:separator/>
      </w:r>
    </w:p>
  </w:footnote>
  <w:footnote w:type="continuationSeparator" w:id="0">
    <w:p w:rsidR="00832679" w:rsidRDefault="008326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021F4E">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021F4E">
      <w:rPr>
        <w:rFonts w:ascii="Arial" w:hAnsi="Arial" w:cs="Arial" w:hint="cs"/>
        <w:i/>
        <w:sz w:val="20"/>
        <w:szCs w:val="20"/>
        <w:rtl/>
      </w:rPr>
      <w:t>2</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8195626"/>
    <w:multiLevelType w:val="hybridMultilevel"/>
    <w:tmpl w:val="8952A1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7F02379C"/>
    <w:multiLevelType w:val="hybridMultilevel"/>
    <w:tmpl w:val="F6385C22"/>
    <w:lvl w:ilvl="0" w:tplc="2EA84E36">
      <w:start w:val="1"/>
      <w:numFmt w:val="bullet"/>
      <w:lvlText w:val="•"/>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1F4E"/>
    <w:rsid w:val="00022250"/>
    <w:rsid w:val="0002316C"/>
    <w:rsid w:val="00024964"/>
    <w:rsid w:val="0002527E"/>
    <w:rsid w:val="000266EE"/>
    <w:rsid w:val="00033B8E"/>
    <w:rsid w:val="00043334"/>
    <w:rsid w:val="00045AD4"/>
    <w:rsid w:val="000505CF"/>
    <w:rsid w:val="0007020F"/>
    <w:rsid w:val="00081EE2"/>
    <w:rsid w:val="00086549"/>
    <w:rsid w:val="000A0B75"/>
    <w:rsid w:val="000A2989"/>
    <w:rsid w:val="000A346F"/>
    <w:rsid w:val="000A780F"/>
    <w:rsid w:val="000A7A6A"/>
    <w:rsid w:val="000B1483"/>
    <w:rsid w:val="000C590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3CA1"/>
    <w:rsid w:val="0013632A"/>
    <w:rsid w:val="00142C25"/>
    <w:rsid w:val="0014409C"/>
    <w:rsid w:val="0015273F"/>
    <w:rsid w:val="00152C00"/>
    <w:rsid w:val="00156E7B"/>
    <w:rsid w:val="0016135F"/>
    <w:rsid w:val="00167206"/>
    <w:rsid w:val="001751C9"/>
    <w:rsid w:val="00175630"/>
    <w:rsid w:val="00182BB3"/>
    <w:rsid w:val="00184D38"/>
    <w:rsid w:val="0018795A"/>
    <w:rsid w:val="00193191"/>
    <w:rsid w:val="001A41C3"/>
    <w:rsid w:val="001B5212"/>
    <w:rsid w:val="001C0F5F"/>
    <w:rsid w:val="001C697F"/>
    <w:rsid w:val="001D6B99"/>
    <w:rsid w:val="001D747D"/>
    <w:rsid w:val="001D7ADB"/>
    <w:rsid w:val="001E590C"/>
    <w:rsid w:val="001E6820"/>
    <w:rsid w:val="001E73C9"/>
    <w:rsid w:val="0020246F"/>
    <w:rsid w:val="002106EA"/>
    <w:rsid w:val="0022023F"/>
    <w:rsid w:val="002320AB"/>
    <w:rsid w:val="00235CD0"/>
    <w:rsid w:val="00240BC0"/>
    <w:rsid w:val="00241835"/>
    <w:rsid w:val="00246C90"/>
    <w:rsid w:val="00255E26"/>
    <w:rsid w:val="0026201A"/>
    <w:rsid w:val="00262699"/>
    <w:rsid w:val="00264897"/>
    <w:rsid w:val="002675BF"/>
    <w:rsid w:val="00270564"/>
    <w:rsid w:val="00271066"/>
    <w:rsid w:val="002745F6"/>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6C3D"/>
    <w:rsid w:val="0036253A"/>
    <w:rsid w:val="003640D1"/>
    <w:rsid w:val="00367BDB"/>
    <w:rsid w:val="00373776"/>
    <w:rsid w:val="0037387A"/>
    <w:rsid w:val="00377368"/>
    <w:rsid w:val="0038188C"/>
    <w:rsid w:val="00384886"/>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485"/>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77076"/>
    <w:rsid w:val="004779D6"/>
    <w:rsid w:val="004800D6"/>
    <w:rsid w:val="00482ED3"/>
    <w:rsid w:val="004831FD"/>
    <w:rsid w:val="004926F1"/>
    <w:rsid w:val="00493C85"/>
    <w:rsid w:val="00495E08"/>
    <w:rsid w:val="00496A69"/>
    <w:rsid w:val="00497057"/>
    <w:rsid w:val="00497C8F"/>
    <w:rsid w:val="004A6F2B"/>
    <w:rsid w:val="004C602F"/>
    <w:rsid w:val="004D1D7F"/>
    <w:rsid w:val="004D3FEE"/>
    <w:rsid w:val="004D54E0"/>
    <w:rsid w:val="004F006D"/>
    <w:rsid w:val="004F542D"/>
    <w:rsid w:val="005007D7"/>
    <w:rsid w:val="00503BA1"/>
    <w:rsid w:val="00504BD1"/>
    <w:rsid w:val="00505053"/>
    <w:rsid w:val="005148F4"/>
    <w:rsid w:val="005216CB"/>
    <w:rsid w:val="00526A08"/>
    <w:rsid w:val="00531E04"/>
    <w:rsid w:val="00534E2B"/>
    <w:rsid w:val="00545657"/>
    <w:rsid w:val="00550A14"/>
    <w:rsid w:val="005526DF"/>
    <w:rsid w:val="005529C6"/>
    <w:rsid w:val="00554A04"/>
    <w:rsid w:val="00555E5A"/>
    <w:rsid w:val="005648F9"/>
    <w:rsid w:val="00566662"/>
    <w:rsid w:val="005727BA"/>
    <w:rsid w:val="0057291B"/>
    <w:rsid w:val="00584E77"/>
    <w:rsid w:val="005910DB"/>
    <w:rsid w:val="005916C5"/>
    <w:rsid w:val="0059198E"/>
    <w:rsid w:val="00592C90"/>
    <w:rsid w:val="00593A89"/>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23EA1"/>
    <w:rsid w:val="00637BF3"/>
    <w:rsid w:val="00641E4C"/>
    <w:rsid w:val="00642E23"/>
    <w:rsid w:val="006432C5"/>
    <w:rsid w:val="00646A99"/>
    <w:rsid w:val="00646F24"/>
    <w:rsid w:val="00647373"/>
    <w:rsid w:val="0065178F"/>
    <w:rsid w:val="00654223"/>
    <w:rsid w:val="00667BFF"/>
    <w:rsid w:val="006734F5"/>
    <w:rsid w:val="00674EDF"/>
    <w:rsid w:val="00683944"/>
    <w:rsid w:val="00684C3D"/>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B472D"/>
    <w:rsid w:val="007C127D"/>
    <w:rsid w:val="007C26A8"/>
    <w:rsid w:val="007C56D1"/>
    <w:rsid w:val="007C5FD2"/>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22E0A"/>
    <w:rsid w:val="00824853"/>
    <w:rsid w:val="00832679"/>
    <w:rsid w:val="00837961"/>
    <w:rsid w:val="00855808"/>
    <w:rsid w:val="008561DC"/>
    <w:rsid w:val="00857E78"/>
    <w:rsid w:val="0086691A"/>
    <w:rsid w:val="00875A75"/>
    <w:rsid w:val="0088150F"/>
    <w:rsid w:val="008834BD"/>
    <w:rsid w:val="008916BB"/>
    <w:rsid w:val="00894951"/>
    <w:rsid w:val="00895B6A"/>
    <w:rsid w:val="00896AA9"/>
    <w:rsid w:val="008A2FB2"/>
    <w:rsid w:val="008A5AED"/>
    <w:rsid w:val="008B7C96"/>
    <w:rsid w:val="008C3405"/>
    <w:rsid w:val="008C6CE1"/>
    <w:rsid w:val="008D0133"/>
    <w:rsid w:val="008D576C"/>
    <w:rsid w:val="008E3B6C"/>
    <w:rsid w:val="008E57DD"/>
    <w:rsid w:val="008E5CA4"/>
    <w:rsid w:val="008E6CE0"/>
    <w:rsid w:val="008F52B6"/>
    <w:rsid w:val="00904BAB"/>
    <w:rsid w:val="00904F93"/>
    <w:rsid w:val="00905B19"/>
    <w:rsid w:val="00910D59"/>
    <w:rsid w:val="00912E55"/>
    <w:rsid w:val="0092311D"/>
    <w:rsid w:val="00934FF9"/>
    <w:rsid w:val="009351FA"/>
    <w:rsid w:val="0093692E"/>
    <w:rsid w:val="00937F98"/>
    <w:rsid w:val="00943FCA"/>
    <w:rsid w:val="00944FCA"/>
    <w:rsid w:val="009559DE"/>
    <w:rsid w:val="00957CF4"/>
    <w:rsid w:val="009635C8"/>
    <w:rsid w:val="009710E2"/>
    <w:rsid w:val="009778A8"/>
    <w:rsid w:val="009816E4"/>
    <w:rsid w:val="00981CB0"/>
    <w:rsid w:val="00991846"/>
    <w:rsid w:val="00997E6B"/>
    <w:rsid w:val="009B0017"/>
    <w:rsid w:val="009C2EFE"/>
    <w:rsid w:val="009C3560"/>
    <w:rsid w:val="009C4239"/>
    <w:rsid w:val="009C4E47"/>
    <w:rsid w:val="009C5BAA"/>
    <w:rsid w:val="009D0AF5"/>
    <w:rsid w:val="009D1DBD"/>
    <w:rsid w:val="009E14E0"/>
    <w:rsid w:val="009F4D84"/>
    <w:rsid w:val="009F5A87"/>
    <w:rsid w:val="00A00CD0"/>
    <w:rsid w:val="00A125EB"/>
    <w:rsid w:val="00A13AF6"/>
    <w:rsid w:val="00A16E6D"/>
    <w:rsid w:val="00A2229E"/>
    <w:rsid w:val="00A22E8C"/>
    <w:rsid w:val="00A23FC4"/>
    <w:rsid w:val="00A31FA1"/>
    <w:rsid w:val="00A35182"/>
    <w:rsid w:val="00A3680A"/>
    <w:rsid w:val="00A40E58"/>
    <w:rsid w:val="00A43DA0"/>
    <w:rsid w:val="00A5207A"/>
    <w:rsid w:val="00A54448"/>
    <w:rsid w:val="00A67A1D"/>
    <w:rsid w:val="00A70E54"/>
    <w:rsid w:val="00A81F4C"/>
    <w:rsid w:val="00A8214D"/>
    <w:rsid w:val="00A9352C"/>
    <w:rsid w:val="00A9365A"/>
    <w:rsid w:val="00A963FD"/>
    <w:rsid w:val="00AA0EA0"/>
    <w:rsid w:val="00AA3C49"/>
    <w:rsid w:val="00AB7EDF"/>
    <w:rsid w:val="00AC0645"/>
    <w:rsid w:val="00AC109B"/>
    <w:rsid w:val="00AC28A4"/>
    <w:rsid w:val="00AE022E"/>
    <w:rsid w:val="00AE15DA"/>
    <w:rsid w:val="00AE3284"/>
    <w:rsid w:val="00AF35D2"/>
    <w:rsid w:val="00B03A0E"/>
    <w:rsid w:val="00B03B76"/>
    <w:rsid w:val="00B061C6"/>
    <w:rsid w:val="00B2519E"/>
    <w:rsid w:val="00B3164F"/>
    <w:rsid w:val="00B31B9D"/>
    <w:rsid w:val="00B335FB"/>
    <w:rsid w:val="00B34AE5"/>
    <w:rsid w:val="00B540C1"/>
    <w:rsid w:val="00B75AF3"/>
    <w:rsid w:val="00B77FDE"/>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025"/>
    <w:rsid w:val="00C05C81"/>
    <w:rsid w:val="00C076F7"/>
    <w:rsid w:val="00C1150C"/>
    <w:rsid w:val="00C11F7A"/>
    <w:rsid w:val="00C141F5"/>
    <w:rsid w:val="00C15BA0"/>
    <w:rsid w:val="00C16414"/>
    <w:rsid w:val="00C1654B"/>
    <w:rsid w:val="00C35173"/>
    <w:rsid w:val="00C3677B"/>
    <w:rsid w:val="00C47CB1"/>
    <w:rsid w:val="00C56DA3"/>
    <w:rsid w:val="00C65AFE"/>
    <w:rsid w:val="00C72299"/>
    <w:rsid w:val="00C82F70"/>
    <w:rsid w:val="00C97D19"/>
    <w:rsid w:val="00CA0EBA"/>
    <w:rsid w:val="00CA1F9C"/>
    <w:rsid w:val="00CB1829"/>
    <w:rsid w:val="00CB2E71"/>
    <w:rsid w:val="00CB36B4"/>
    <w:rsid w:val="00CB4552"/>
    <w:rsid w:val="00CB4566"/>
    <w:rsid w:val="00CB5C41"/>
    <w:rsid w:val="00CC1343"/>
    <w:rsid w:val="00CC353E"/>
    <w:rsid w:val="00CC53B0"/>
    <w:rsid w:val="00CD4264"/>
    <w:rsid w:val="00CE1253"/>
    <w:rsid w:val="00CE3DAA"/>
    <w:rsid w:val="00CE70D0"/>
    <w:rsid w:val="00CF1DE1"/>
    <w:rsid w:val="00D00023"/>
    <w:rsid w:val="00D007FC"/>
    <w:rsid w:val="00D07E4F"/>
    <w:rsid w:val="00D10B30"/>
    <w:rsid w:val="00D24097"/>
    <w:rsid w:val="00D26914"/>
    <w:rsid w:val="00D3132D"/>
    <w:rsid w:val="00D35A55"/>
    <w:rsid w:val="00D372CD"/>
    <w:rsid w:val="00D37FFD"/>
    <w:rsid w:val="00D45729"/>
    <w:rsid w:val="00D557A8"/>
    <w:rsid w:val="00D6510B"/>
    <w:rsid w:val="00D651C7"/>
    <w:rsid w:val="00D72FA8"/>
    <w:rsid w:val="00D75239"/>
    <w:rsid w:val="00D75398"/>
    <w:rsid w:val="00D760B7"/>
    <w:rsid w:val="00D80C4F"/>
    <w:rsid w:val="00D95BB4"/>
    <w:rsid w:val="00DA6396"/>
    <w:rsid w:val="00DB7D75"/>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46E47"/>
    <w:rsid w:val="00E534E4"/>
    <w:rsid w:val="00E55127"/>
    <w:rsid w:val="00E577A7"/>
    <w:rsid w:val="00E61F4E"/>
    <w:rsid w:val="00E652AC"/>
    <w:rsid w:val="00E65564"/>
    <w:rsid w:val="00E675C3"/>
    <w:rsid w:val="00E70764"/>
    <w:rsid w:val="00E80DEC"/>
    <w:rsid w:val="00E831C4"/>
    <w:rsid w:val="00E8759C"/>
    <w:rsid w:val="00E90B70"/>
    <w:rsid w:val="00E928F7"/>
    <w:rsid w:val="00EA2C0A"/>
    <w:rsid w:val="00EA5A1C"/>
    <w:rsid w:val="00EA7491"/>
    <w:rsid w:val="00EA7750"/>
    <w:rsid w:val="00EB33D4"/>
    <w:rsid w:val="00EB36D8"/>
    <w:rsid w:val="00ED677E"/>
    <w:rsid w:val="00EE4F34"/>
    <w:rsid w:val="00EF3341"/>
    <w:rsid w:val="00F03B06"/>
    <w:rsid w:val="00F20A86"/>
    <w:rsid w:val="00F21F36"/>
    <w:rsid w:val="00F31F5F"/>
    <w:rsid w:val="00F327BB"/>
    <w:rsid w:val="00F416E9"/>
    <w:rsid w:val="00F42A27"/>
    <w:rsid w:val="00F44D70"/>
    <w:rsid w:val="00F55ED6"/>
    <w:rsid w:val="00F65595"/>
    <w:rsid w:val="00F65971"/>
    <w:rsid w:val="00F67CFE"/>
    <w:rsid w:val="00F716BC"/>
    <w:rsid w:val="00F73A7E"/>
    <w:rsid w:val="00F75A76"/>
    <w:rsid w:val="00F80523"/>
    <w:rsid w:val="00F817DA"/>
    <w:rsid w:val="00F83177"/>
    <w:rsid w:val="00F8543B"/>
    <w:rsid w:val="00F86CE0"/>
    <w:rsid w:val="00F87890"/>
    <w:rsid w:val="00F9044A"/>
    <w:rsid w:val="00FA0902"/>
    <w:rsid w:val="00FA1907"/>
    <w:rsid w:val="00FA26C8"/>
    <w:rsid w:val="00FA2B5F"/>
    <w:rsid w:val="00FB661B"/>
    <w:rsid w:val="00FC3CAC"/>
    <w:rsid w:val="00FC7B87"/>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65D5E-9961-452A-B485-0EDCE05DB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5</cp:revision>
  <cp:lastPrinted>2015-08-25T09:49:00Z</cp:lastPrinted>
  <dcterms:created xsi:type="dcterms:W3CDTF">2015-08-28T07:14:00Z</dcterms:created>
  <dcterms:modified xsi:type="dcterms:W3CDTF">2015-09-30T06:34:00Z</dcterms:modified>
</cp:coreProperties>
</file>